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Single-Cell Intelligence Agent -- Project Bible</w:t>
      </w:r>
    </w:p>
    <w:p>
      <w:r/>
      <w:r>
        <w:rPr>
          <w:b/>
        </w:rPr>
        <w:t>Version:</w:t>
      </w:r>
      <w:r>
        <w:t xml:space="preserve"> 1.0.0</w:t>
      </w:r>
    </w:p>
    <w:p>
      <w:r/>
      <w:r>
        <w:rPr>
          <w:b/>
        </w:rPr>
        <w:t>Date:</w:t>
      </w:r>
      <w:r>
        <w:t xml:space="preserve"> 2026-03-22</w:t>
      </w:r>
    </w:p>
    <w:p>
      <w:r/>
      <w:r>
        <w:rPr>
          <w:b/>
        </w:rPr>
        <w:t>Author:</w:t>
      </w:r>
      <w:r>
        <w:t xml:space="preserve"> Adam Jones</w:t>
      </w:r>
    </w:p>
    <w:p>
      <w:r/>
      <w:r>
        <w:rPr>
          <w:b/>
        </w:rPr>
        <w:t>Classification:</w:t>
      </w:r>
      <w:r>
        <w:t xml:space="preserve"> Internal Reference Document</w:t>
      </w:r>
    </w:p>
    <w:p>
      <w:pPr>
        <w:pStyle w:val="Heading1"/>
      </w:pPr>
      <w:r>
        <w:t>1. Mission Statement</w:t>
      </w:r>
    </w:p>
    <w:p>
      <w:r>
        <w:t>The Single-Cell Intelligence Agent delivers RAG-powered clinical decision support at single-cell resolution, transforming raw transcriptomic data into clinically actionable insights for oncology, immunology, and cell therapy teams. It bridges the gap between single-cell research output and bedside treatment decisions by combining curated domain knowledge, vector-based evidence retrieval, and LLM-powered synthesis.</w:t>
      </w:r>
    </w:p>
    <w:p>
      <w:pPr>
        <w:pStyle w:val="Heading1"/>
      </w:pPr>
      <w:r>
        <w:t>2. Problem Statement</w:t>
      </w:r>
    </w:p>
    <w:p>
      <w:pPr>
        <w:pStyle w:val="Heading2"/>
      </w:pPr>
      <w:r>
        <w:t>2.1 The Resolution Gap</w:t>
      </w:r>
    </w:p>
    <w:p>
      <w:r>
        <w:t>Precision medicine has advanced from tissue-level to gene-level analysis, but clinical decisions still rely on bulk-averaged measurements that mask critical cellular heterogeneity. A tumor biopsy reporting "PD-L1 positive" may contain 30% immune-hot niches and 70% immune-cold desert -- information invisible at bulk resolution but decisive for immunotherapy selection.</w:t>
      </w:r>
    </w:p>
    <w:p>
      <w:pPr>
        <w:pStyle w:val="Heading2"/>
      </w:pPr>
      <w:r>
        <w:t>2.2 The Interpretation Bottleneck</w:t>
      </w:r>
    </w:p>
    <w:p>
      <w:r>
        <w:t>Single-cell RNA-seq generates datasets with 10,000-500,000 cells, each expressing 20,000+ genes. A trained bioinformatician requires 2-4 weeks to fully annotate, profile, and interpret a single dataset. Clinical turnaround expectations are 24-72 hours.</w:t>
      </w:r>
    </w:p>
    <w:p>
      <w:pPr>
        <w:pStyle w:val="Heading2"/>
      </w:pPr>
      <w:r>
        <w:t>2.3 The Knowledge Integration Challenge</w:t>
      </w:r>
    </w:p>
    <w:p>
      <w:r>
        <w:t>Actionable single-cell interpretation requires simultaneous access to:</w:t>
      </w:r>
    </w:p>
    <w:p>
      <w:pPr>
        <w:pStyle w:val="ListBullet"/>
      </w:pPr>
      <w:r>
        <w:t>44+ cell type definitions with canonical marker genes</w:t>
      </w:r>
    </w:p>
    <w:p>
      <w:pPr>
        <w:pStyle w:val="ListBullet"/>
      </w:pPr>
      <w:r>
        <w:t>12 cancer-specific TME reference profiles</w:t>
      </w:r>
    </w:p>
    <w:p>
      <w:pPr>
        <w:pStyle w:val="ListBullet"/>
      </w:pPr>
      <w:r>
        <w:t>30+ drug sensitivity databases</w:t>
      </w:r>
    </w:p>
    <w:p>
      <w:pPr>
        <w:pStyle w:val="ListBullet"/>
      </w:pPr>
      <w:r>
        <w:t>Spatial transcriptomics platform specifications</w:t>
      </w:r>
    </w:p>
    <w:p>
      <w:pPr>
        <w:pStyle w:val="ListBullet"/>
      </w:pPr>
      <w:r>
        <w:t>Active clinical trial registries</w:t>
      </w:r>
    </w:p>
    <w:p>
      <w:pPr>
        <w:pStyle w:val="ListBullet"/>
      </w:pPr>
      <w:r>
        <w:t>75+ validated marker gene associations</w:t>
      </w:r>
    </w:p>
    <w:p>
      <w:r>
        <w:t>No single analyst maintains current expertise across all these domains.</w:t>
      </w:r>
    </w:p>
    <w:p>
      <w:pPr>
        <w:pStyle w:val="Heading1"/>
      </w:pPr>
      <w:r>
        <w:t>3. Solution Architecture</w:t>
      </w:r>
    </w:p>
    <w:p>
      <w:pPr>
        <w:pStyle w:val="Heading2"/>
      </w:pPr>
      <w:r>
        <w:t>3.1 High-Level Design</w:t>
      </w:r>
    </w:p>
    <w:p>
      <w:r>
        <w:t xml:space="preserve">The agent follows the </w:t>
      </w:r>
      <w:r>
        <w:rPr>
          <w:b/>
        </w:rPr>
        <w:t>Plan-Search-Evaluate-Synthesize-Report</w:t>
      </w:r>
      <w:r>
        <w:t xml:space="preserve"> pattern:</w:t>
      </w:r>
    </w:p>
    <w:p>
      <w:r>
        <w:t xml:space="preserve">1. </w:t>
      </w:r>
      <w:r>
        <w:rPr>
          <w:b/>
        </w:rPr>
        <w:t>Plan:</w:t>
      </w:r>
      <w:r>
        <w:t xml:space="preserve"> Parse the query, classify the workflow type (1 of 11), and construct a search plan with collection-specific weights</w:t>
      </w:r>
    </w:p>
    <w:p>
      <w:r>
        <w:t xml:space="preserve">2. </w:t>
      </w:r>
      <w:r>
        <w:rPr>
          <w:b/>
        </w:rPr>
        <w:t>Search:</w:t>
      </w:r>
      <w:r>
        <w:t xml:space="preserve"> Execute parallel vector searches across 12 Milvus collections using BGE-small-en-v1.5 embeddings</w:t>
      </w:r>
    </w:p>
    <w:p>
      <w:r>
        <w:t xml:space="preserve">3. </w:t>
      </w:r>
      <w:r>
        <w:rPr>
          <w:b/>
        </w:rPr>
        <w:t>Evaluate:</w:t>
      </w:r>
      <w:r>
        <w:t xml:space="preserve"> Score evidence quality, check cross-collection corroboration, assess clinical relevance</w:t>
      </w:r>
    </w:p>
    <w:p>
      <w:r>
        <w:t xml:space="preserve">4. </w:t>
      </w:r>
      <w:r>
        <w:rPr>
          <w:b/>
        </w:rPr>
        <w:t>Synthesize:</w:t>
      </w:r>
      <w:r>
        <w:t xml:space="preserve"> Generate a grounded LLM response using Claude Sonnet with retrieved evidence</w:t>
      </w:r>
    </w:p>
    <w:p>
      <w:r>
        <w:t xml:space="preserve">5. </w:t>
      </w:r>
      <w:r>
        <w:rPr>
          <w:b/>
        </w:rPr>
        <w:t>Report:</w:t>
      </w:r>
      <w:r>
        <w:t xml:space="preserve"> Format structured output with citations, severity levels, and actionable recommendations</w:t>
      </w:r>
    </w:p>
    <w:p>
      <w:pPr>
        <w:pStyle w:val="Heading2"/>
      </w:pPr>
      <w:r>
        <w:t>3.2 Key Design Decisions</w:t>
      </w:r>
    </w:p>
    <w:p>
      <w:r>
        <w:t>| Decision | Rationale |</w:t>
      </w:r>
    </w:p>
    <w:p>
      <w:r>
        <w:t>|----------|-----------|</w:t>
      </w:r>
    </w:p>
    <w:p>
      <w:r>
        <w:t>| 12 separate collections (not 1 monolithic) | Workflow-specific weight boosting, schema optimization per data type |</w:t>
      </w:r>
    </w:p>
    <w:p>
      <w:r>
        <w:t>| BGE-small-en-v1.5 (384-dim) | Balance of quality and speed; 384-dim sufficient for biomedical text |</w:t>
      </w:r>
    </w:p>
    <w:p>
      <w:r>
        <w:t>| IVF_FLAT index | Simple, accurate, adequate for &lt; 100K records per collection |</w:t>
      </w:r>
    </w:p>
    <w:p>
      <w:r>
        <w:t>| Pydantic models for all I/O | Type safety, validation, auto-documentation |</w:t>
      </w:r>
    </w:p>
    <w:p>
      <w:r>
        <w:t>| 4 dedicated decision engines | Deterministic clinical logic separate from LLM stochasticity |</w:t>
      </w:r>
    </w:p>
    <w:p>
      <w:r>
        <w:t>| Graceful degradation | Each component failure reduces capability, never crashes |</w:t>
      </w:r>
    </w:p>
    <w:p>
      <w:r>
        <w:t>| COSINE similarity | Standard for normalized text embeddings |</w:t>
      </w:r>
    </w:p>
    <w:p>
      <w:pPr>
        <w:pStyle w:val="Heading2"/>
      </w:pPr>
      <w:r>
        <w:t>3.3 What This Agent Does NOT Do</w:t>
      </w:r>
    </w:p>
    <w:p>
      <w:pPr>
        <w:pStyle w:val="ListBullet"/>
      </w:pPr>
      <w:r>
        <w:t>Does not process raw FASTQ/BAM files (that is the genomics pipeline)</w:t>
      </w:r>
    </w:p>
    <w:p>
      <w:pPr>
        <w:pStyle w:val="ListBullet"/>
      </w:pPr>
      <w:r>
        <w:t>Does not perform de novo clustering or dimensionality reduction (that is the computational pipeline)</w:t>
      </w:r>
    </w:p>
    <w:p>
      <w:pPr>
        <w:pStyle w:val="ListBullet"/>
      </w:pPr>
      <w:r>
        <w:t>Does not store patient health records (no PHI storage)</w:t>
      </w:r>
    </w:p>
    <w:p>
      <w:pPr>
        <w:pStyle w:val="ListBullet"/>
      </w:pPr>
      <w:r>
        <w:t>Does not replace pathologist review (decision support, not decision making)</w:t>
      </w:r>
    </w:p>
    <w:p>
      <w:pPr>
        <w:pStyle w:val="ListBullet"/>
      </w:pPr>
      <w:r>
        <w:t>Does not run GPU-accelerated analysis (v1.0 -- RAPIDS integration planned for v2.0)</w:t>
      </w:r>
    </w:p>
    <w:p>
      <w:pPr>
        <w:pStyle w:val="Heading1"/>
      </w:pPr>
      <w:r>
        <w:t>4. Stakeholder Map</w:t>
      </w:r>
    </w:p>
    <w:p>
      <w:r>
        <w:t>| Stakeholder | Role | Interest |</w:t>
      </w:r>
    </w:p>
    <w:p>
      <w:r>
        <w:t>|------------|------|----------|</w:t>
      </w:r>
    </w:p>
    <w:p>
      <w:r>
        <w:t>| Clinical oncologist | End user | TME classification, drug response, treatment monitoring |</w:t>
      </w:r>
    </w:p>
    <w:p>
      <w:r>
        <w:t>| Bioinformatician | Power user | Cell type annotation, trajectory inference, method selection |</w:t>
      </w:r>
    </w:p>
    <w:p>
      <w:r>
        <w:t>| Cell therapy team | End user | CAR-T target validation, escape risk assessment |</w:t>
      </w:r>
    </w:p>
    <w:p>
      <w:r>
        <w:t>| Spatial biology researcher | Power user | Spatial niche mapping, L-R interaction analysis |</w:t>
      </w:r>
    </w:p>
    <w:p>
      <w:r>
        <w:t>| Clinical trial coordinator | Consumer | Biomarker discovery, trial-eligible target identification |</w:t>
      </w:r>
    </w:p>
    <w:p>
      <w:r>
        <w:t>| Platform engineering | Operator | Deployment, monitoring, scaling |</w:t>
      </w:r>
    </w:p>
    <w:p>
      <w:pPr>
        <w:pStyle w:val="Heading1"/>
      </w:pPr>
      <w:r>
        <w:t>5. Feature Inventory</w:t>
      </w:r>
    </w:p>
    <w:p>
      <w:pPr>
        <w:pStyle w:val="Heading2"/>
      </w:pPr>
      <w:r>
        <w:t>5.1 Analysis Workflows (10)</w:t>
      </w:r>
    </w:p>
    <w:p>
      <w:r>
        <w:t>| # | Workflow | Clinical Question Answered |</w:t>
      </w:r>
    </w:p>
    <w:p>
      <w:r>
        <w:t>|---|---------|---------------------------|</w:t>
      </w:r>
    </w:p>
    <w:p>
      <w:r>
        <w:t>| 1 | Cell Type Annotation | "What cell types are in this sample and at what proportions?" |</w:t>
      </w:r>
    </w:p>
    <w:p>
      <w:r>
        <w:t>| 2 | TME Profiling | "Is this tumor hot, cold, excluded, or immunosuppressive?" |</w:t>
      </w:r>
    </w:p>
    <w:p>
      <w:r>
        <w:t>| 3 | Drug Response | "Which drugs will this tumor respond to at the cellular level?" |</w:t>
      </w:r>
    </w:p>
    <w:p>
      <w:r>
        <w:t>| 4 | Subclonal Architecture | "Are there resistant subclones that could cause relapse?" |</w:t>
      </w:r>
    </w:p>
    <w:p>
      <w:r>
        <w:t>| 5 | Spatial Niche | "Where are the immune cells relative to tumor cells in tissue?" |</w:t>
      </w:r>
    </w:p>
    <w:p>
      <w:r>
        <w:t>| 6 | Trajectory Analysis | "What differentiation or exhaustion trajectories are active?" |</w:t>
      </w:r>
    </w:p>
    <w:p>
      <w:r>
        <w:t>| 7 | Ligand-Receptor | "Which cell-cell communication axes are driving tumor progression?" |</w:t>
      </w:r>
    </w:p>
    <w:p>
      <w:r>
        <w:t>| 8 | Biomarker Discovery | "What cell-type-specific biomarkers predict treatment outcome?" |</w:t>
      </w:r>
    </w:p>
    <w:p>
      <w:r>
        <w:t>| 9 | CAR-T Validation | "Is this target safe and effective for CAR-T therapy?" |</w:t>
      </w:r>
    </w:p>
    <w:p>
      <w:r>
        <w:t>| 10 | Treatment Monitoring | "How has the tumor composition changed under treatment?" |</w:t>
      </w:r>
    </w:p>
    <w:p>
      <w:pPr>
        <w:pStyle w:val="Heading2"/>
      </w:pPr>
      <w:r>
        <w:t>5.2 Decision Support Engines (4)</w:t>
      </w:r>
    </w:p>
    <w:p>
      <w:r>
        <w:t>| Engine | Input | Output | Deterministic |</w:t>
      </w:r>
    </w:p>
    <w:p>
      <w:r>
        <w:t>|--------|-------|--------|--------------|</w:t>
      </w:r>
    </w:p>
    <w:p>
      <w:r>
        <w:t>| TMEClassifier | Cell proportions, gene expression | TME class + treatment recs | Yes |</w:t>
      </w:r>
    </w:p>
    <w:p>
      <w:r>
        <w:t>| SubclonalRiskScorer | Clone data, target antigen | Risk level + timeline | Yes |</w:t>
      </w:r>
    </w:p>
    <w:p>
      <w:r>
        <w:t>| TargetExpressionValidator | Tumor/normal expression | Safety verdict | Yes |</w:t>
      </w:r>
    </w:p>
    <w:p>
      <w:r>
        <w:t>| CellularDeconvolutionEngine | Bulk expression | Cell type proportions | Yes |</w:t>
      </w:r>
    </w:p>
    <w:p>
      <w:pPr>
        <w:pStyle w:val="Heading2"/>
      </w:pPr>
      <w:r>
        <w:t>5.3 Knowledge Resources</w:t>
      </w:r>
    </w:p>
    <w:p>
      <w:r>
        <w:t>| Resource | Records | Update Frequency |</w:t>
      </w:r>
    </w:p>
    <w:p>
      <w:r>
        <w:t>|----------|---------|-----------------|</w:t>
      </w:r>
    </w:p>
    <w:p>
      <w:r>
        <w:t>| Cell Type Atlas | 44 types, 232 aliases | Static (v3.0.0) |</w:t>
      </w:r>
    </w:p>
    <w:p>
      <w:r>
        <w:t>| Drug Database | 30 drugs, 10 classes | Semi-annual |</w:t>
      </w:r>
    </w:p>
    <w:p>
      <w:r>
        <w:t>| Marker Genes | 75 genes | Static |</w:t>
      </w:r>
    </w:p>
    <w:p>
      <w:r>
        <w:t>| Immune Signatures | 10 signatures | Static |</w:t>
      </w:r>
    </w:p>
    <w:p>
      <w:r>
        <w:t>| L-R Pairs | 25 pairs | Static |</w:t>
      </w:r>
    </w:p>
    <w:p>
      <w:r>
        <w:t>| Cancer TME Atlas | 12 cancer types | Semi-annual |</w:t>
      </w:r>
    </w:p>
    <w:p>
      <w:r>
        <w:t>| CellxGene Seeds | 49 records | On ingest |</w:t>
      </w:r>
    </w:p>
    <w:p>
      <w:r>
        <w:t>| Marker Seeds | 75 records | On ingest |</w:t>
      </w:r>
    </w:p>
    <w:p>
      <w:r>
        <w:t>| TME Seeds | 20 records | On ingest |</w:t>
      </w:r>
    </w:p>
    <w:p>
      <w:pPr>
        <w:pStyle w:val="Heading1"/>
      </w:pPr>
      <w:r>
        <w:t>6. Technical Stack</w:t>
      </w:r>
    </w:p>
    <w:p>
      <w:pPr>
        <w:pStyle w:val="Heading2"/>
      </w:pPr>
      <w:r>
        <w:t>6.1 Core Technologies</w:t>
      </w:r>
    </w:p>
    <w:p>
      <w:r>
        <w:t>| Layer | Technology | Version |</w:t>
      </w:r>
    </w:p>
    <w:p>
      <w:r>
        <w:t>|-------|-----------|---------|</w:t>
      </w:r>
    </w:p>
    <w:p>
      <w:r>
        <w:t>| Language | Python | 3.10 |</w:t>
      </w:r>
    </w:p>
    <w:p>
      <w:r>
        <w:t>| API framework | FastAPI | 0.111.0 |</w:t>
      </w:r>
    </w:p>
    <w:p>
      <w:r>
        <w:t>| UI framework | Streamlit | 1.33.0 |</w:t>
      </w:r>
    </w:p>
    <w:p>
      <w:r>
        <w:t>| Vector database | Milvus | 2.4 |</w:t>
      </w:r>
    </w:p>
    <w:p>
      <w:r>
        <w:t>| Embedding model | BGE-small-en-v1.5 | 384-dim |</w:t>
      </w:r>
    </w:p>
    <w:p>
      <w:r>
        <w:t>| LLM | Claude Sonnet (Anthropic) | claude-sonnet-4-6 |</w:t>
      </w:r>
    </w:p>
    <w:p>
      <w:r>
        <w:t>| Containerization | Docker | Multi-stage |</w:t>
      </w:r>
    </w:p>
    <w:p>
      <w:r>
        <w:t>| Orchestration | Docker Compose | 3.8 |</w:t>
      </w:r>
    </w:p>
    <w:p>
      <w:r>
        <w:t>| Validation | Pydantic | 2.7.4 |</w:t>
      </w:r>
    </w:p>
    <w:p>
      <w:r>
        <w:t>| Metrics | Prometheus client | 0.20.0 |</w:t>
      </w:r>
    </w:p>
    <w:p>
      <w:r>
        <w:t>| Scheduling | APScheduler | 3.10.4 |</w:t>
      </w:r>
    </w:p>
    <w:p>
      <w:r>
        <w:t>| Export | python-docx | 1.1.0 |</w:t>
      </w:r>
    </w:p>
    <w:p>
      <w:pPr>
        <w:pStyle w:val="Heading2"/>
      </w:pPr>
      <w:r>
        <w:t>6.2 Data Sources</w:t>
      </w:r>
    </w:p>
    <w:p>
      <w:r>
        <w:t>| Source | Data Type | Integration |</w:t>
      </w:r>
    </w:p>
    <w:p>
      <w:r>
        <w:t>|--------|----------|-------------|</w:t>
      </w:r>
    </w:p>
    <w:p>
      <w:r>
        <w:t>| Human Cell Atlas | Cell type references | Seed data |</w:t>
      </w:r>
    </w:p>
    <w:p>
      <w:r>
        <w:t>| CellMarker 2.0 | Marker-cell associations | Seed data |</w:t>
      </w:r>
    </w:p>
    <w:p>
      <w:r>
        <w:t>| Cell Ontology (CL) | Ontology identifiers | Static mapping |</w:t>
      </w:r>
    </w:p>
    <w:p>
      <w:r>
        <w:t>| PanglaoDB | Marker gene database | Seed data |</w:t>
      </w:r>
    </w:p>
    <w:p>
      <w:r>
        <w:t>| CellxGene | Dataset metadata | API ingest |</w:t>
      </w:r>
    </w:p>
    <w:p>
      <w:r>
        <w:t>| GDSC | Drug sensitivity | Knowledge base |</w:t>
      </w:r>
    </w:p>
    <w:p>
      <w:r>
        <w:t>| DepMap | Cancer dependency | Knowledge base |</w:t>
      </w:r>
    </w:p>
    <w:p>
      <w:r>
        <w:t>| ClinVar | Variant classification | Shared collection |</w:t>
      </w:r>
    </w:p>
    <w:p>
      <w:r>
        <w:t>| TISCH2 | TME atlas | Knowledge base |</w:t>
      </w:r>
    </w:p>
    <w:p>
      <w:r>
        <w:t>| CellPhoneDB | L-R interactions | Knowledge base |</w:t>
      </w:r>
    </w:p>
    <w:p>
      <w:pPr>
        <w:pStyle w:val="Heading1"/>
      </w:pPr>
      <w:r>
        <w:t>7. Port Allocation</w:t>
      </w:r>
    </w:p>
    <w:p>
      <w:r>
        <w:t>| Port | Service | Protocol |</w:t>
      </w:r>
    </w:p>
    <w:p>
      <w:r>
        <w:t>|------|---------|----------|</w:t>
      </w:r>
    </w:p>
    <w:p>
      <w:r>
        <w:t>| 8540 | FastAPI REST API | HTTP |</w:t>
      </w:r>
    </w:p>
    <w:p>
      <w:r>
        <w:t>| 8130 | Streamlit UI | HTTP |</w:t>
      </w:r>
    </w:p>
    <w:p>
      <w:r>
        <w:t>| 19530 | Milvus (shared) | gRPC |</w:t>
      </w:r>
    </w:p>
    <w:p>
      <w:r>
        <w:t>| 69530 | Milvus (standalone) | gRPC |</w:t>
      </w:r>
    </w:p>
    <w:p>
      <w:r>
        <w:t>| 69091 | Milvus health (standalone) | HTTP |</w:t>
      </w:r>
    </w:p>
    <w:p>
      <w:pPr>
        <w:pStyle w:val="Heading1"/>
      </w:pPr>
      <w:r>
        <w:t>8. Data Flow</w:t>
      </w:r>
    </w:p>
    <w:p>
      <w:r>
        <w:t>User Query</w:t>
      </w:r>
    </w:p>
    <w:p>
      <w:r>
        <w:t xml:space="preserve">    |</w:t>
      </w:r>
    </w:p>
    <w:p>
      <w:r>
        <w:t xml:space="preserve">    v</w:t>
      </w:r>
    </w:p>
    <w:p>
      <w:r>
        <w:t>Query Classification (SCWorkflowType)</w:t>
      </w:r>
    </w:p>
    <w:p>
      <w:r>
        <w:t xml:space="preserve">    |</w:t>
      </w:r>
    </w:p>
    <w:p>
      <w:r>
        <w:t xml:space="preserve">    v</w:t>
      </w:r>
    </w:p>
    <w:p>
      <w:r>
        <w:t>Search Plan Construction</w:t>
      </w:r>
    </w:p>
    <w:p>
      <w:r>
        <w:t xml:space="preserve">    |-- Collection selection (12 collections)</w:t>
      </w:r>
    </w:p>
    <w:p>
      <w:r>
        <w:t xml:space="preserve">    |-- Weight profile selection (11 profiles)</w:t>
      </w:r>
    </w:p>
    <w:p>
      <w:r>
        <w:t xml:space="preserve">    |-- Filter expression generation</w:t>
      </w:r>
    </w:p>
    <w:p>
      <w:r>
        <w:t xml:space="preserve">    |</w:t>
      </w:r>
    </w:p>
    <w:p>
      <w:r>
        <w:t xml:space="preserve">    v</w:t>
      </w:r>
    </w:p>
    <w:p>
      <w:r>
        <w:t>Parallel Vector Search (ThreadPoolExecutor)</w:t>
      </w:r>
    </w:p>
    <w:p>
      <w:r>
        <w:t xml:space="preserve">    |-- sc_cell_types (weight: 0.14)</w:t>
      </w:r>
    </w:p>
    <w:p>
      <w:r>
        <w:t xml:space="preserve">    |-- sc_markers (weight: 0.12)</w:t>
      </w:r>
    </w:p>
    <w:p>
      <w:r>
        <w:t xml:space="preserve">    |-- ... (10 more collections)</w:t>
      </w:r>
    </w:p>
    <w:p>
      <w:r>
        <w:t xml:space="preserve">    |</w:t>
      </w:r>
    </w:p>
    <w:p>
      <w:r>
        <w:t xml:space="preserve">    v</w:t>
      </w:r>
    </w:p>
    <w:p>
      <w:r>
        <w:t>Evidence Aggregation &amp; Scoring</w:t>
      </w:r>
    </w:p>
    <w:p>
      <w:r>
        <w:t xml:space="preserve">    |-- Cross-collection entity linking</w:t>
      </w:r>
    </w:p>
    <w:p>
      <w:r>
        <w:t xml:space="preserve">    |-- Citation relevance scoring</w:t>
      </w:r>
    </w:p>
    <w:p>
      <w:r>
        <w:t xml:space="preserve">    |-- Evidence level assessment</w:t>
      </w:r>
    </w:p>
    <w:p>
      <w:r>
        <w:t xml:space="preserve">    |</w:t>
      </w:r>
    </w:p>
    <w:p>
      <w:r>
        <w:t xml:space="preserve">    v</w:t>
      </w:r>
    </w:p>
    <w:p>
      <w:r>
        <w:t>LLM Synthesis (Claude Sonnet)</w:t>
      </w:r>
    </w:p>
    <w:p>
      <w:r>
        <w:t xml:space="preserve">    |-- System prompt: single-cell specialist</w:t>
      </w:r>
    </w:p>
    <w:p>
      <w:r>
        <w:t xml:space="preserve">    |-- Context: top-K evidence from search</w:t>
      </w:r>
    </w:p>
    <w:p>
      <w:r>
        <w:t xml:space="preserve">    |-- Conversation history (3-turn window)</w:t>
      </w:r>
    </w:p>
    <w:p>
      <w:r>
        <w:t xml:space="preserve">    |</w:t>
      </w:r>
    </w:p>
    <w:p>
      <w:r>
        <w:t xml:space="preserve">    v</w:t>
      </w:r>
    </w:p>
    <w:p>
      <w:r>
        <w:t>Structured Response (SCResponse)</w:t>
      </w:r>
    </w:p>
    <w:p>
      <w:r>
        <w:t xml:space="preserve">    |-- answer (natural language)</w:t>
      </w:r>
    </w:p>
    <w:p>
      <w:r>
        <w:t xml:space="preserve">    |-- workflow_result (typed)</w:t>
      </w:r>
    </w:p>
    <w:p>
      <w:r>
        <w:t xml:space="preserve">    |-- citations (formatted)</w:t>
      </w:r>
    </w:p>
    <w:p>
      <w:r>
        <w:t xml:space="preserve">    |-- confidence (0-1)</w:t>
      </w:r>
    </w:p>
    <w:p>
      <w:pPr>
        <w:pStyle w:val="Heading1"/>
      </w:pPr>
      <w:r>
        <w:t>9. Quality Gates</w:t>
      </w:r>
    </w:p>
    <w:p>
      <w:pPr>
        <w:pStyle w:val="Heading2"/>
      </w:pPr>
      <w:r>
        <w:t>9.1 Code Quality</w:t>
      </w:r>
    </w:p>
    <w:p>
      <w:r>
        <w:t>| Gate | Tool | Threshold |</w:t>
      </w:r>
    </w:p>
    <w:p>
      <w:r>
        <w:t>|------|------|-----------|</w:t>
      </w:r>
    </w:p>
    <w:p>
      <w:r>
        <w:t>| Type safety | Pydantic validation | All I/O models typed |</w:t>
      </w:r>
    </w:p>
    <w:p>
      <w:r>
        <w:t>| Unit tests | pytest | 185+ test cases |</w:t>
      </w:r>
    </w:p>
    <w:p>
      <w:r>
        <w:t>| Configuration validation | SingleCellSettings.validate() | 0 critical warnings |</w:t>
      </w:r>
    </w:p>
    <w:p>
      <w:r>
        <w:t>| Weight sum validation | Collections.py | Sum within 0.05 of 1.0 |</w:t>
      </w:r>
    </w:p>
    <w:p>
      <w:pPr>
        <w:pStyle w:val="Heading2"/>
      </w:pPr>
      <w:r>
        <w:t>9.2 Clinical Quality</w:t>
      </w:r>
    </w:p>
    <w:p>
      <w:r>
        <w:t>| Gate | Mechanism |</w:t>
      </w:r>
    </w:p>
    <w:p>
      <w:r>
        <w:t>|------|-----------|</w:t>
      </w:r>
    </w:p>
    <w:p>
      <w:r>
        <w:t>| TME classification accuracy | Validated against TISCH2 reference profiles |</w:t>
      </w:r>
    </w:p>
    <w:p>
      <w:r>
        <w:t>| Drug sensitivity correlation | Cross-referenced with GDSC IC50 data |</w:t>
      </w:r>
    </w:p>
    <w:p>
      <w:r>
        <w:t>| CAR-T safety thresholds | Based on published vital organ expression data |</w:t>
      </w:r>
    </w:p>
    <w:p>
      <w:r>
        <w:t>| Evidence grading | Four-tier evidence level system |</w:t>
      </w:r>
    </w:p>
    <w:p>
      <w:r>
        <w:t>| Severity classification | Five-level clinical severity scale |</w:t>
      </w:r>
    </w:p>
    <w:p>
      <w:pPr>
        <w:pStyle w:val="Heading1"/>
      </w:pPr>
      <w:r>
        <w:t>10. Deployment Models</w:t>
      </w:r>
    </w:p>
    <w:p>
      <w:pPr>
        <w:pStyle w:val="Heading2"/>
      </w:pPr>
      <w:r>
        <w:t>10.1 Standalone (Docker Compose)</w:t>
      </w:r>
    </w:p>
    <w:p>
      <w:r>
        <w:t>Includes dedicated Milvus instance (etcd + MinIO + standalone). Suitable for development, testing, and single-user deployment.</w:t>
      </w:r>
    </w:p>
    <w:p>
      <w:pPr>
        <w:pStyle w:val="Heading2"/>
      </w:pPr>
      <w:r>
        <w:t>10.2 Integrated (DGX Spark)</w:t>
      </w:r>
    </w:p>
    <w:p>
      <w:r>
        <w:t>Connects to shared Milvus instance via the top-level `docker-compose.dgx-spark.yml`. Reads from shared `genomic_evidence` collection. Suitable for production deployment alongside other HCLS AI Factory agents.</w:t>
      </w:r>
    </w:p>
    <w:p>
      <w:pPr>
        <w:pStyle w:val="Heading2"/>
      </w:pPr>
      <w:r>
        <w:t>10.3 VAST AI OS</w:t>
      </w:r>
    </w:p>
    <w:p>
      <w:r>
        <w:t>Deployed as a function within the VAST AI OS platform with automatic scaling and health monitoring. Uses the VAST AI OS AgentEngine model for lifecycle management.</w:t>
      </w:r>
    </w:p>
    <w:p>
      <w:pPr>
        <w:pStyle w:val="Heading1"/>
      </w:pPr>
      <w:r>
        <w:t>11. Roadmap</w:t>
      </w:r>
    </w:p>
    <w:p>
      <w:pPr>
        <w:pStyle w:val="Heading2"/>
      </w:pPr>
      <w:r>
        <w:t>11.1 v1.0 (Current)</w:t>
      </w:r>
    </w:p>
    <w:p>
      <w:pPr>
        <w:pStyle w:val="ListBullet"/>
      </w:pPr>
      <w:r>
        <w:t>12 Milvus collections with seed data</w:t>
      </w:r>
    </w:p>
    <w:p>
      <w:pPr>
        <w:pStyle w:val="ListBullet"/>
      </w:pPr>
      <w:r>
        <w:t>10 analysis workflows</w:t>
      </w:r>
    </w:p>
    <w:p>
      <w:pPr>
        <w:pStyle w:val="ListBullet"/>
      </w:pPr>
      <w:r>
        <w:t>4 decision support engines</w:t>
      </w:r>
    </w:p>
    <w:p>
      <w:pPr>
        <w:pStyle w:val="ListBullet"/>
      </w:pPr>
      <w:r>
        <w:t>FastAPI + Streamlit deployment</w:t>
      </w:r>
    </w:p>
    <w:p>
      <w:pPr>
        <w:pStyle w:val="ListBullet"/>
      </w:pPr>
      <w:r>
        <w:t>Cross-agent integration (4 peer agents)</w:t>
      </w:r>
    </w:p>
    <w:p>
      <w:pPr>
        <w:pStyle w:val="ListBullet"/>
      </w:pPr>
      <w:r>
        <w:t>185 test cases</w:t>
      </w:r>
    </w:p>
    <w:p>
      <w:pPr>
        <w:pStyle w:val="Heading2"/>
      </w:pPr>
      <w:r>
        <w:t>11.2 v1.1 (Q2 2026)</w:t>
      </w:r>
    </w:p>
    <w:p>
      <w:pPr>
        <w:pStyle w:val="ListBullet"/>
      </w:pPr>
      <w:r>
        <w:t>RAPIDS GPU acceleration for cuML UMAP/clustering</w:t>
      </w:r>
    </w:p>
    <w:p>
      <w:pPr>
        <w:pStyle w:val="ListBullet"/>
      </w:pPr>
      <w:r>
        <w:t>scGPT foundation model integration via NIM</w:t>
      </w:r>
    </w:p>
    <w:p>
      <w:pPr>
        <w:pStyle w:val="ListBullet"/>
      </w:pPr>
      <w:r>
        <w:t>CIBERSORTx-grade deconvolution</w:t>
      </w:r>
    </w:p>
    <w:p>
      <w:pPr>
        <w:pStyle w:val="ListBullet"/>
      </w:pPr>
      <w:r>
        <w:t>OpenTelemetry distributed tracing</w:t>
      </w:r>
    </w:p>
    <w:p>
      <w:pPr>
        <w:pStyle w:val="ListBullet"/>
      </w:pPr>
      <w:r>
        <w:t>Redis-backed rate limiting</w:t>
      </w:r>
    </w:p>
    <w:p>
      <w:pPr>
        <w:pStyle w:val="Heading2"/>
      </w:pPr>
      <w:r>
        <w:t>11.3 v2.0 (Q3 2026)</w:t>
      </w:r>
    </w:p>
    <w:p>
      <w:pPr>
        <w:pStyle w:val="ListBullet"/>
      </w:pPr>
      <w:r>
        <w:t>Multi-modal integration (scATAC-seq, CITE-seq, Multiome)</w:t>
      </w:r>
    </w:p>
    <w:p>
      <w:pPr>
        <w:pStyle w:val="ListBullet"/>
      </w:pPr>
      <w:r>
        <w:t>Real-time spatial analysis pipeline</w:t>
      </w:r>
    </w:p>
    <w:p>
      <w:pPr>
        <w:pStyle w:val="ListBullet"/>
      </w:pPr>
      <w:r>
        <w:t>Automated report generation with institutional templates</w:t>
      </w:r>
    </w:p>
    <w:p>
      <w:pPr>
        <w:pStyle w:val="ListBullet"/>
      </w:pPr>
      <w:r>
        <w:t>Patient longitudinal tracking dashboard</w:t>
      </w:r>
    </w:p>
    <w:p>
      <w:pPr>
        <w:pStyle w:val="ListBullet"/>
      </w:pPr>
      <w:r>
        <w:t>FDA 21 CFR Part 11 compliance features</w:t>
      </w:r>
    </w:p>
    <w:p>
      <w:pPr>
        <w:pStyle w:val="Heading1"/>
      </w:pPr>
      <w:r>
        <w:t>12. Glossary</w:t>
      </w:r>
    </w:p>
    <w:p>
      <w:r>
        <w:t>| Term | Definition |</w:t>
      </w:r>
    </w:p>
    <w:p>
      <w:r>
        <w:t>|------|-----------|</w:t>
      </w:r>
    </w:p>
    <w:p>
      <w:r>
        <w:t>| AnnData | Annotated data matrix format for single-cell data (.h5ad) |</w:t>
      </w:r>
    </w:p>
    <w:p>
      <w:r>
        <w:t>| CAR-T | Chimeric Antigen Receptor T-cell therapy |</w:t>
      </w:r>
    </w:p>
    <w:p>
      <w:r>
        <w:t>| CITE-seq | Cellular Indexing of Transcriptomes and Epitopes by Sequencing |</w:t>
      </w:r>
    </w:p>
    <w:p>
      <w:r>
        <w:t>| CL | Cell Ontology (standardized cell type identifier system) |</w:t>
      </w:r>
    </w:p>
    <w:p>
      <w:r>
        <w:t>| DE | Differential Expression analysis |</w:t>
      </w:r>
    </w:p>
    <w:p>
      <w:r>
        <w:t>| GDSC | Genomics of Drug Sensitivity in Cancer |</w:t>
      </w:r>
    </w:p>
    <w:p>
      <w:r>
        <w:t>| HCA | Human Cell Atlas consortium |</w:t>
      </w:r>
    </w:p>
    <w:p>
      <w:r>
        <w:t>| L-R | Ligand-Receptor (cell-cell communication) |</w:t>
      </w:r>
    </w:p>
    <w:p>
      <w:r>
        <w:t>| MERFISH | Multiplexed Error-Robust FISH (spatial transcriptomics) |</w:t>
      </w:r>
    </w:p>
    <w:p>
      <w:r>
        <w:t>| MRD | Minimal Residual Disease |</w:t>
      </w:r>
    </w:p>
    <w:p>
      <w:r>
        <w:t>| NNLS | Non-Negative Least Squares (deconvolution method) |</w:t>
      </w:r>
    </w:p>
    <w:p>
      <w:r>
        <w:t>| PCA | Principal Component Analysis |</w:t>
      </w:r>
    </w:p>
    <w:p>
      <w:r>
        <w:t>| RAG | Retrieval-Augmented Generation |</w:t>
      </w:r>
    </w:p>
    <w:p>
      <w:r>
        <w:t>| scRNA-seq | Single-cell RNA sequencing |</w:t>
      </w:r>
    </w:p>
    <w:p>
      <w:r>
        <w:t>| TME | Tumor Microenvironment |</w:t>
      </w:r>
    </w:p>
    <w:p>
      <w:r>
        <w:t>| UMAP | Uniform Manifold Approximation and Projection |</w:t>
      </w:r>
    </w:p>
    <w:p>
      <w:r>
        <w:t>| Visium | 10x Genomics spatial transcriptomics platform |</w:t>
      </w:r>
    </w:p>
    <w:p>
      <w:r>
        <w:t>| Xenium | 10x Genomics in situ spatial platform |</w:t>
      </w:r>
    </w:p>
    <w:p>
      <w:r>
        <w:t>*HCLS AI Factory -- Single-Cell Intelligence Agent Project Bible v1.0.0*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