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333"/>
          <w:sz w:val="48"/>
        </w:rPr>
        <w:t>Single-Cell Intelligence Agent</w:t>
      </w:r>
    </w:p>
    <w:p>
      <w:pPr>
        <w:pStyle w:val="Heading1"/>
      </w:pPr>
      <w:r>
        <w:rPr>
          <w:color w:val="1B2333"/>
          <w:sz w:val="36"/>
        </w:rPr>
        <w:t>Clinical Impact Assessment &amp; Uniqueness Analysis</w:t>
      </w:r>
    </w:p>
    <w:p>
      <w:r>
        <w:rPr>
          <w:b/>
          <w:color w:val="333333"/>
          <w:sz w:val="20"/>
        </w:rPr>
        <w:t>HCLS AI Factory — Precision Medicine Platform</w:t>
      </w:r>
    </w:p>
    <w:p>
      <w:r>
        <w:rPr>
          <w:b w:val="0"/>
          <w:color w:val="333333"/>
          <w:sz w:val="20"/>
        </w:rPr>
        <w:t>Author: Adam Jones | Date: March 2026 | Platform: NVIDIA DGX Spark</w:t>
      </w:r>
    </w:p>
    <w:p>
      <w:r>
        <w:rPr>
          <w:b w:val="0"/>
          <w:color w:val="333333"/>
          <w:sz w:val="20"/>
        </w:rPr>
        <w:t>Version 3.0.0 | Apache 2.0 License</w:t>
      </w:r>
    </w:p>
    <w:p>
      <w:r>
        <w:br w:type="page"/>
      </w:r>
    </w:p>
    <w:p>
      <w:pPr>
        <w:pStyle w:val="Heading1"/>
      </w:pPr>
      <w:r>
        <w:rPr>
          <w:color w:val="1B2333"/>
          <w:sz w:val="36"/>
        </w:rPr>
        <w:t>Will This Agent Decrease Time to Treat Disease?</w:t>
      </w:r>
    </w:p>
    <w:p>
      <w:r>
        <w:rPr>
          <w:b/>
          <w:color w:val="333333"/>
          <w:sz w:val="20"/>
        </w:rPr>
        <w:t>This agent solves the problem that makes 30-40% of targeted cancer therapies fail: tumor heterogeneity that bulk sequencing cannot see.</w:t>
      </w:r>
    </w:p>
    <w:p>
      <w:r>
        <w:rPr>
          <w:b w:val="0"/>
          <w:color w:val="333333"/>
          <w:sz w:val="20"/>
        </w:rPr>
        <w:t>When the Oncology Agent identifies a BRAF V600E mutation, it tells you the average across billions of tumor cells. What it cannot tell you is that 60% have BRAF V600E (responsive), 25% have a MET-amplified subclone (resistant in 6 months), and 15% are surrounded by exhausted T-cells in an immunosuppressive microenvironment. That cellular-resolution truth is invisible to every other agent and to every standard clinical workflow in the world.</w:t>
      </w:r>
    </w:p>
    <w:p>
      <w:pPr>
        <w:pStyle w:val="Heading2"/>
      </w:pPr>
      <w:r>
        <w:rPr>
          <w:color w:val="1AAFCC"/>
          <w:sz w:val="28"/>
        </w:rPr>
        <w:t>Time Compression by Clinical Scenario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Scenario</w:t>
            </w:r>
          </w:p>
        </w:tc>
        <w:tc>
          <w:tcPr>
            <w:tcW w:type="dxa" w:w="2160"/>
          </w:tcPr>
          <w:p>
            <w:r>
              <w:rPr>
                <w:b/>
                <w:sz w:val="18"/>
              </w:rPr>
              <w:t>Current Approach</w:t>
            </w:r>
          </w:p>
        </w:tc>
        <w:tc>
          <w:tcPr>
            <w:tcW w:type="dxa" w:w="2160"/>
          </w:tcPr>
          <w:p>
            <w:r>
              <w:rPr>
                <w:b/>
                <w:sz w:val="18"/>
              </w:rPr>
              <w:t>With Agent</w:t>
            </w:r>
          </w:p>
        </w:tc>
        <w:tc>
          <w:tcPr>
            <w:tcW w:type="dxa" w:w="2160"/>
          </w:tcPr>
          <w:p>
            <w:r>
              <w:rPr>
                <w:b/>
                <w:sz w:val="18"/>
              </w:rPr>
              <w:t>Clinical Impact</w:t>
            </w:r>
          </w:p>
        </w:tc>
      </w:tr>
      <w:tr>
        <w:tc>
          <w:tcPr>
            <w:tcW w:type="dxa" w:w="2160"/>
          </w:tcPr>
          <w:p>
            <w:r>
              <w:rPr>
                <w:sz w:val="18"/>
              </w:rPr>
              <w:t>Treatment failure prediction</w:t>
            </w:r>
          </w:p>
        </w:tc>
        <w:tc>
          <w:tcPr>
            <w:tcW w:type="dxa" w:w="2160"/>
          </w:tcPr>
          <w:p>
            <w:r>
              <w:rPr>
                <w:sz w:val="18"/>
              </w:rPr>
              <w:t>Discovered 6+ months later on rebiopsy</w:t>
            </w:r>
          </w:p>
        </w:tc>
        <w:tc>
          <w:tcPr>
            <w:tcW w:type="dxa" w:w="2160"/>
          </w:tcPr>
          <w:p>
            <w:r>
              <w:rPr>
                <w:sz w:val="18"/>
              </w:rPr>
              <w:t>Identified before treatment starts</w:t>
            </w:r>
          </w:p>
        </w:tc>
        <w:tc>
          <w:tcPr>
            <w:tcW w:type="dxa" w:w="2160"/>
          </w:tcPr>
          <w:p>
            <w:r>
              <w:rPr>
                <w:sz w:val="18"/>
              </w:rPr>
              <w:t>Subclonal Risk Scorer detects resistant clones at 5% frequency. Prevents 6 months of wrong treatment.</w:t>
            </w:r>
          </w:p>
        </w:tc>
      </w:tr>
      <w:tr>
        <w:tc>
          <w:tcPr>
            <w:tcW w:type="dxa" w:w="2160"/>
          </w:tcPr>
          <w:p>
            <w:r>
              <w:rPr>
                <w:sz w:val="18"/>
              </w:rPr>
              <w:t>Immunotherapy patient selection</w:t>
            </w:r>
          </w:p>
        </w:tc>
        <w:tc>
          <w:tcPr>
            <w:tcW w:type="dxa" w:w="2160"/>
          </w:tcPr>
          <w:p>
            <w:r>
              <w:rPr>
                <w:sz w:val="18"/>
              </w:rPr>
              <w:t>PD-L1 bulk test (crude)</w:t>
            </w:r>
          </w:p>
        </w:tc>
        <w:tc>
          <w:tcPr>
            <w:tcW w:type="dxa" w:w="2160"/>
          </w:tcPr>
          <w:p>
            <w:r>
              <w:rPr>
                <w:sz w:val="18"/>
              </w:rPr>
              <w:t>TME classification at cellular resolution</w:t>
            </w:r>
          </w:p>
        </w:tc>
        <w:tc>
          <w:tcPr>
            <w:tcW w:type="dxa" w:w="2160"/>
          </w:tcPr>
          <w:p>
            <w:r>
              <w:rPr>
                <w:sz w:val="18"/>
              </w:rPr>
              <w:t>4-class system (hot/cold/excluded/immunosuppressive) with cancer-specific treatment strategy</w:t>
            </w:r>
          </w:p>
        </w:tc>
      </w:tr>
      <w:tr>
        <w:tc>
          <w:tcPr>
            <w:tcW w:type="dxa" w:w="2160"/>
          </w:tcPr>
          <w:p>
            <w:r>
              <w:rPr>
                <w:sz w:val="18"/>
              </w:rPr>
              <w:t>CAR-T target safety</w:t>
            </w:r>
          </w:p>
        </w:tc>
        <w:tc>
          <w:tcPr>
            <w:tcW w:type="dxa" w:w="2160"/>
          </w:tcPr>
          <w:p>
            <w:r>
              <w:rPr>
                <w:sz w:val="18"/>
              </w:rPr>
              <w:t>Months of preclinical expression profiling</w:t>
            </w:r>
          </w:p>
        </w:tc>
        <w:tc>
          <w:tcPr>
            <w:tcW w:type="dxa" w:w="2160"/>
          </w:tcPr>
          <w:p>
            <w:r>
              <w:rPr>
                <w:sz w:val="18"/>
              </w:rPr>
              <w:t>Single API call</w:t>
            </w:r>
          </w:p>
        </w:tc>
        <w:tc>
          <w:tcPr>
            <w:tcW w:type="dxa" w:w="2160"/>
          </w:tcPr>
          <w:p>
            <w:r>
              <w:rPr>
                <w:sz w:val="18"/>
              </w:rPr>
              <w:t>On-tumor/off-tumor across 8 vital organs + 44 cell types. Prevents fatal off-target toxicity.</w:t>
            </w:r>
          </w:p>
        </w:tc>
      </w:tr>
      <w:tr>
        <w:tc>
          <w:tcPr>
            <w:tcW w:type="dxa" w:w="2160"/>
          </w:tcPr>
          <w:p>
            <w:r>
              <w:rPr>
                <w:sz w:val="18"/>
              </w:rPr>
              <w:t>Drug resistance monitoring</w:t>
            </w:r>
          </w:p>
        </w:tc>
        <w:tc>
          <w:tcPr>
            <w:tcW w:type="dxa" w:w="2160"/>
          </w:tcPr>
          <w:p>
            <w:r>
              <w:rPr>
                <w:sz w:val="18"/>
              </w:rPr>
              <w:t>Serial biopsies over months</w:t>
            </w:r>
          </w:p>
        </w:tc>
        <w:tc>
          <w:tcPr>
            <w:tcW w:type="dxa" w:w="2160"/>
          </w:tcPr>
          <w:p>
            <w:r>
              <w:rPr>
                <w:sz w:val="18"/>
              </w:rPr>
              <w:t>Longitudinal clonal dynamics tracking</w:t>
            </w:r>
          </w:p>
        </w:tc>
        <w:tc>
          <w:tcPr>
            <w:tcW w:type="dxa" w:w="2160"/>
          </w:tcPr>
          <w:p>
            <w:r>
              <w:rPr>
                <w:sz w:val="18"/>
              </w:rPr>
              <w:t>Clone expansion rates, exhaustion trajectories, resistance emergence detection</w:t>
            </w:r>
          </w:p>
        </w:tc>
      </w:tr>
      <w:tr>
        <w:tc>
          <w:tcPr>
            <w:tcW w:type="dxa" w:w="2160"/>
          </w:tcPr>
          <w:p>
            <w:r>
              <w:rPr>
                <w:sz w:val="18"/>
              </w:rPr>
              <w:t>Tumor heterogeneity assessment</w:t>
            </w:r>
          </w:p>
        </w:tc>
        <w:tc>
          <w:tcPr>
            <w:tcW w:type="dxa" w:w="2160"/>
          </w:tcPr>
          <w:p>
            <w:r>
              <w:rPr>
                <w:sz w:val="18"/>
              </w:rPr>
              <w:t>Not routinely done (bulk average)</w:t>
            </w:r>
          </w:p>
        </w:tc>
        <w:tc>
          <w:tcPr>
            <w:tcW w:type="dxa" w:w="2160"/>
          </w:tcPr>
          <w:p>
            <w:r>
              <w:rPr>
                <w:sz w:val="18"/>
              </w:rPr>
              <w:t>33 seconds for 100K cells on GPU</w:t>
            </w:r>
          </w:p>
        </w:tc>
        <w:tc>
          <w:tcPr>
            <w:tcW w:type="dxa" w:w="2160"/>
          </w:tcPr>
          <w:p>
            <w:r>
              <w:rPr>
                <w:sz w:val="18"/>
              </w:rPr>
              <w:t>Subclonal architecture with mutation-expression correlation</w:t>
            </w:r>
          </w:p>
        </w:tc>
      </w:tr>
      <w:tr>
        <w:tc>
          <w:tcPr>
            <w:tcW w:type="dxa" w:w="2160"/>
          </w:tcPr>
          <w:p>
            <w:r>
              <w:rPr>
                <w:sz w:val="18"/>
              </w:rPr>
              <w:t>Spatial immune context</w:t>
            </w:r>
          </w:p>
        </w:tc>
        <w:tc>
          <w:tcPr>
            <w:tcW w:type="dxa" w:w="2160"/>
          </w:tcPr>
          <w:p>
            <w:r>
              <w:rPr>
                <w:sz w:val="18"/>
              </w:rPr>
              <w:t>Pathologist visual assessment</w:t>
            </w:r>
          </w:p>
        </w:tc>
        <w:tc>
          <w:tcPr>
            <w:tcW w:type="dxa" w:w="2160"/>
          </w:tcPr>
          <w:p>
            <w:r>
              <w:rPr>
                <w:sz w:val="18"/>
              </w:rPr>
              <w:t>Automated niche identification</w:t>
            </w:r>
          </w:p>
        </w:tc>
        <w:tc>
          <w:tcPr>
            <w:tcW w:type="dxa" w:w="2160"/>
          </w:tcPr>
          <w:p>
            <w:r>
              <w:rPr>
                <w:sz w:val="18"/>
              </w:rPr>
              <w:t>k-NN neighborhood analysis, spatial autocorrelation, cell interaction mapping</w:t>
            </w:r>
          </w:p>
        </w:tc>
      </w:tr>
      <w:tr>
        <w:tc>
          <w:tcPr>
            <w:tcW w:type="dxa" w:w="2160"/>
          </w:tcPr>
          <w:p>
            <w:r>
              <w:rPr>
                <w:sz w:val="18"/>
              </w:rPr>
              <w:t>Biomarker discovery</w:t>
            </w:r>
          </w:p>
        </w:tc>
        <w:tc>
          <w:tcPr>
            <w:tcW w:type="dxa" w:w="2160"/>
          </w:tcPr>
          <w:p>
            <w:r>
              <w:rPr>
                <w:sz w:val="18"/>
              </w:rPr>
              <w:t>Months of bioinformatics analysis</w:t>
            </w:r>
          </w:p>
        </w:tc>
        <w:tc>
          <w:tcPr>
            <w:tcW w:type="dxa" w:w="2160"/>
          </w:tcPr>
          <w:p>
            <w:r>
              <w:rPr>
                <w:sz w:val="18"/>
              </w:rPr>
              <w:t>Scored and ranked in seconds</w:t>
            </w:r>
          </w:p>
        </w:tc>
        <w:tc>
          <w:tcPr>
            <w:tcW w:type="dxa" w:w="2160"/>
          </w:tcPr>
          <w:p>
            <w:r>
              <w:rPr>
                <w:sz w:val="18"/>
              </w:rPr>
              <w:t>Cell-type specificity + clinical correlation + druggability scoring</w:t>
            </w:r>
          </w:p>
        </w:tc>
      </w:tr>
      <w:tr>
        <w:tc>
          <w:tcPr>
            <w:tcW w:type="dxa" w:w="2160"/>
          </w:tcPr>
          <w:p>
            <w:r>
              <w:rPr>
                <w:sz w:val="18"/>
              </w:rPr>
              <w:t>Cell type annotation</w:t>
            </w:r>
          </w:p>
        </w:tc>
        <w:tc>
          <w:tcPr>
            <w:tcW w:type="dxa" w:w="2160"/>
          </w:tcPr>
          <w:p>
            <w:r>
              <w:rPr>
                <w:sz w:val="18"/>
              </w:rPr>
              <w:t>Expert bioinformatician (days-weeks)</w:t>
            </w:r>
          </w:p>
        </w:tc>
        <w:tc>
          <w:tcPr>
            <w:tcW w:type="dxa" w:w="2160"/>
          </w:tcPr>
          <w:p>
            <w:r>
              <w:rPr>
                <w:sz w:val="18"/>
              </w:rPr>
              <w:t>Multi-strategy consensus (&lt;30s)</w:t>
            </w:r>
          </w:p>
        </w:tc>
        <w:tc>
          <w:tcPr>
            <w:tcW w:type="dxa" w:w="2160"/>
          </w:tcPr>
          <w:p>
            <w:r>
              <w:rPr>
                <w:sz w:val="18"/>
              </w:rPr>
              <w:t>3-method consensus (reference + marker + LLM) with confidence scoring</w:t>
            </w:r>
          </w:p>
        </w:tc>
      </w:tr>
    </w:tbl>
    <w:p/>
    <w:p>
      <w:pPr>
        <w:pStyle w:val="Heading2"/>
      </w:pPr>
      <w:r>
        <w:rPr>
          <w:color w:val="1AAFCC"/>
          <w:sz w:val="28"/>
        </w:rPr>
        <w:t>The GPU Story</w:t>
      </w:r>
    </w:p>
    <w:p>
      <w:r>
        <w:rPr>
          <w:b/>
          <w:color w:val="333333"/>
          <w:sz w:val="20"/>
        </w:rPr>
        <w:t>Single-cell analysis is the most compute-intensive workload in the HCLS AI Factory. The numbers demonstrate why GPU acceleration transforms this from research luxury to clinical reality: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Dataset</w:t>
            </w:r>
          </w:p>
        </w:tc>
        <w:tc>
          <w:tcPr>
            <w:tcW w:type="dxa" w:w="2160"/>
          </w:tcPr>
          <w:p>
            <w:r>
              <w:rPr>
                <w:b/>
                <w:sz w:val="18"/>
              </w:rPr>
              <w:t>CPU Time</w:t>
            </w:r>
          </w:p>
        </w:tc>
        <w:tc>
          <w:tcPr>
            <w:tcW w:type="dxa" w:w="2160"/>
          </w:tcPr>
          <w:p>
            <w:r>
              <w:rPr>
                <w:b/>
                <w:sz w:val="18"/>
              </w:rPr>
              <w:t>GPU Time (DGX Spark)</w:t>
            </w:r>
          </w:p>
        </w:tc>
        <w:tc>
          <w:tcPr>
            <w:tcW w:type="dxa" w:w="2160"/>
          </w:tcPr>
          <w:p>
            <w:r>
              <w:rPr>
                <w:b/>
                <w:sz w:val="18"/>
              </w:rPr>
              <w:t>Speedup</w:t>
            </w:r>
          </w:p>
        </w:tc>
      </w:tr>
      <w:tr>
        <w:tc>
          <w:tcPr>
            <w:tcW w:type="dxa" w:w="2160"/>
          </w:tcPr>
          <w:p>
            <w:r>
              <w:rPr>
                <w:sz w:val="18"/>
              </w:rPr>
              <w:t>68K PBMCs (standard)</w:t>
            </w:r>
          </w:p>
        </w:tc>
        <w:tc>
          <w:tcPr>
            <w:tcW w:type="dxa" w:w="2160"/>
          </w:tcPr>
          <w:p>
            <w:r>
              <w:rPr>
                <w:sz w:val="18"/>
              </w:rPr>
              <w:t>11.5 minutes</w:t>
            </w:r>
          </w:p>
        </w:tc>
        <w:tc>
          <w:tcPr>
            <w:tcW w:type="dxa" w:w="2160"/>
          </w:tcPr>
          <w:p>
            <w:r>
              <w:rPr>
                <w:sz w:val="18"/>
              </w:rPr>
              <w:t>22 seconds</w:t>
            </w:r>
          </w:p>
        </w:tc>
        <w:tc>
          <w:tcPr>
            <w:tcW w:type="dxa" w:w="2160"/>
          </w:tcPr>
          <w:p>
            <w:r>
              <w:rPr>
                <w:sz w:val="18"/>
              </w:rPr>
              <w:t>31x</w:t>
            </w:r>
          </w:p>
        </w:tc>
      </w:tr>
      <w:tr>
        <w:tc>
          <w:tcPr>
            <w:tcW w:type="dxa" w:w="2160"/>
          </w:tcPr>
          <w:p>
            <w:r>
              <w:rPr>
                <w:sz w:val="18"/>
              </w:rPr>
              <w:t>100K tumor cells</w:t>
            </w:r>
          </w:p>
        </w:tc>
        <w:tc>
          <w:tcPr>
            <w:tcW w:type="dxa" w:w="2160"/>
          </w:tcPr>
          <w:p>
            <w:r>
              <w:rPr>
                <w:sz w:val="18"/>
              </w:rPr>
              <w:t>30 minutes</w:t>
            </w:r>
          </w:p>
        </w:tc>
        <w:tc>
          <w:tcPr>
            <w:tcW w:type="dxa" w:w="2160"/>
          </w:tcPr>
          <w:p>
            <w:r>
              <w:rPr>
                <w:sz w:val="18"/>
              </w:rPr>
              <w:t>33 seconds</w:t>
            </w:r>
          </w:p>
        </w:tc>
        <w:tc>
          <w:tcPr>
            <w:tcW w:type="dxa" w:w="2160"/>
          </w:tcPr>
          <w:p>
            <w:r>
              <w:rPr>
                <w:sz w:val="18"/>
              </w:rPr>
              <w:t>54x</w:t>
            </w:r>
          </w:p>
        </w:tc>
      </w:tr>
      <w:tr>
        <w:tc>
          <w:tcPr>
            <w:tcW w:type="dxa" w:w="2160"/>
          </w:tcPr>
          <w:p>
            <w:r>
              <w:rPr>
                <w:sz w:val="18"/>
              </w:rPr>
              <w:t>500K cell atlas</w:t>
            </w:r>
          </w:p>
        </w:tc>
        <w:tc>
          <w:tcPr>
            <w:tcW w:type="dxa" w:w="2160"/>
          </w:tcPr>
          <w:p>
            <w:r>
              <w:rPr>
                <w:sz w:val="18"/>
              </w:rPr>
              <w:t>2+ hours</w:t>
            </w:r>
          </w:p>
        </w:tc>
        <w:tc>
          <w:tcPr>
            <w:tcW w:type="dxa" w:w="2160"/>
          </w:tcPr>
          <w:p>
            <w:r>
              <w:rPr>
                <w:sz w:val="18"/>
              </w:rPr>
              <w:t>1.7 minutes</w:t>
            </w:r>
          </w:p>
        </w:tc>
        <w:tc>
          <w:tcPr>
            <w:tcW w:type="dxa" w:w="2160"/>
          </w:tcPr>
          <w:p>
            <w:r>
              <w:rPr>
                <w:sz w:val="18"/>
              </w:rPr>
              <w:t>74x</w:t>
            </w:r>
          </w:p>
        </w:tc>
      </w:tr>
    </w:tbl>
    <w:p/>
    <w:p>
      <w:r>
        <w:rPr>
          <w:b w:val="0"/>
          <w:color w:val="333333"/>
          <w:sz w:val="20"/>
        </w:rPr>
        <w:t>At 500K cells, the GPU processes the entire dataset in under 2 minutes — fast enough for same-day clinical turnaround. On CPU, the same analysis takes over 2 hours, making it impractical for clinical workflows.</w:t>
      </w:r>
    </w:p>
    <w:p>
      <w:pPr>
        <w:pStyle w:val="Heading2"/>
      </w:pPr>
      <w:r>
        <w:rPr>
          <w:color w:val="1AAFCC"/>
          <w:sz w:val="28"/>
        </w:rPr>
        <w:t>Where It Prevents Death</w:t>
      </w:r>
    </w:p>
    <w:p>
      <w:r>
        <w:rPr>
          <w:b/>
          <w:color w:val="333333"/>
          <w:sz w:val="20"/>
        </w:rPr>
        <w:t>Resistant subclone — the silent killer:</w:t>
      </w:r>
    </w:p>
    <w:p>
      <w:r>
        <w:rPr>
          <w:b w:val="0"/>
          <w:color w:val="333333"/>
          <w:sz w:val="20"/>
        </w:rPr>
        <w:t>A melanoma patient starts dabrafenib + trametinib for BRAF V600E. Bulk sequencing confirms the mutation. But single-cell analysis reveals a 5% MET-amplified subclone with high proliferation index. Your Subclonal Risk Scorer flags HIGH escape risk, timeline 3-6 months. The oncologist adds a MET inhibitor from day one instead of discovering resistance 6 months later on progression. That patient keeps responding instead of losing 6 months to the wrong monotherapy.</w:t>
      </w:r>
    </w:p>
    <w:p>
      <w:r>
        <w:rPr>
          <w:b/>
          <w:color w:val="333333"/>
          <w:sz w:val="20"/>
        </w:rPr>
        <w:t>CAR-T off-target toxicity — the fatal risk:</w:t>
      </w:r>
    </w:p>
    <w:p>
      <w:r>
        <w:rPr>
          <w:b w:val="0"/>
          <w:color w:val="333333"/>
          <w:sz w:val="20"/>
        </w:rPr>
        <w:t>A team engineering HER2-targeted CAR-T cells for breast cancer. Your Target Expression Validator queries the 44-cell-type atlas: HER2 is expressed on cardiac myocytes. Risk level: HIGH (vital organ). Therapeutic index: UNFAVORABLE. This is exactly what killed patients in early HER2 CAR-T trials. Your agent catches it before the first patient is infused.</w:t>
      </w:r>
    </w:p>
    <w:p>
      <w:r>
        <w:rPr>
          <w:b/>
          <w:color w:val="333333"/>
          <w:sz w:val="20"/>
        </w:rPr>
        <w:t>Cold tumor — the futile treatment:</w:t>
      </w:r>
    </w:p>
    <w:p>
      <w:r>
        <w:rPr>
          <w:b w:val="0"/>
          <w:color w:val="333333"/>
          <w:sz w:val="20"/>
        </w:rPr>
        <w:t>A pancreatic cancer patient about to start pembrolizumab (anti-PD-1). Your TME Classifier analyzes the tumor: COLD_DESERT — less than 5% immune infiltration, absent inflammatory chemokines. Expected response rate to checkpoint monotherapy: &lt;5%. Instead of 4 months of futile immunotherapy with side effects, the oncologist chooses combination therapy with a STING agonist to recruit immune cells first. That clinical decision — made in seconds by the TME Classifier — saves months of ineffective treatment.</w:t>
      </w:r>
    </w:p>
    <w:p>
      <w:r>
        <w:br w:type="page"/>
      </w:r>
    </w:p>
    <w:p>
      <w:pPr>
        <w:pStyle w:val="Heading1"/>
      </w:pPr>
      <w:r>
        <w:rPr>
          <w:color w:val="1B2333"/>
          <w:sz w:val="36"/>
        </w:rPr>
        <w:t>Does Something Like This Currently Exist?</w:t>
      </w:r>
    </w:p>
    <w:p>
      <w:r>
        <w:rPr>
          <w:b/>
          <w:color w:val="333333"/>
          <w:sz w:val="20"/>
        </w:rPr>
        <w:t>The individual algorithms exist. The integration does not. The accessibility absolutely does not.</w:t>
      </w:r>
    </w:p>
    <w:p>
      <w:pPr>
        <w:pStyle w:val="Heading2"/>
      </w:pPr>
      <w:r>
        <w:rPr>
          <w:color w:val="1AAFCC"/>
          <w:sz w:val="28"/>
        </w:rPr>
        <w:t>Market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Platform</w:t>
            </w:r>
          </w:p>
        </w:tc>
        <w:tc>
          <w:tcPr>
            <w:tcW w:type="dxa" w:w="2880"/>
          </w:tcPr>
          <w:p>
            <w:r>
              <w:rPr>
                <w:b/>
                <w:sz w:val="18"/>
              </w:rPr>
              <w:t>What It Does</w:t>
            </w:r>
          </w:p>
        </w:tc>
        <w:tc>
          <w:tcPr>
            <w:tcW w:type="dxa" w:w="2880"/>
          </w:tcPr>
          <w:p>
            <w:r>
              <w:rPr>
                <w:b/>
                <w:sz w:val="18"/>
              </w:rPr>
              <w:t>What It Doesn't Do</w:t>
            </w:r>
          </w:p>
        </w:tc>
      </w:tr>
      <w:tr>
        <w:tc>
          <w:tcPr>
            <w:tcW w:type="dxa" w:w="2880"/>
          </w:tcPr>
          <w:p>
            <w:r>
              <w:rPr>
                <w:sz w:val="18"/>
              </w:rPr>
              <w:t>Scanpy (Python)</w:t>
            </w:r>
          </w:p>
        </w:tc>
        <w:tc>
          <w:tcPr>
            <w:tcW w:type="dxa" w:w="2880"/>
          </w:tcPr>
          <w:p>
            <w:r>
              <w:rPr>
                <w:sz w:val="18"/>
              </w:rPr>
              <w:t>scRNA-seq analysis (QC, clustering, DE)</w:t>
            </w:r>
          </w:p>
        </w:tc>
        <w:tc>
          <w:tcPr>
            <w:tcW w:type="dxa" w:w="2880"/>
          </w:tcPr>
          <w:p>
            <w:r>
              <w:rPr>
                <w:sz w:val="18"/>
              </w:rPr>
              <w:t>CPU-only (30x slower), no clinical decision support, no TME, no drug response, no RAG</w:t>
            </w:r>
          </w:p>
        </w:tc>
      </w:tr>
      <w:tr>
        <w:tc>
          <w:tcPr>
            <w:tcW w:type="dxa" w:w="2880"/>
          </w:tcPr>
          <w:p>
            <w:r>
              <w:rPr>
                <w:sz w:val="18"/>
              </w:rPr>
              <w:t>Seurat (R)</w:t>
            </w:r>
          </w:p>
        </w:tc>
        <w:tc>
          <w:tcPr>
            <w:tcW w:type="dxa" w:w="2880"/>
          </w:tcPr>
          <w:p>
            <w:r>
              <w:rPr>
                <w:sz w:val="18"/>
              </w:rPr>
              <w:t>Same as Scanpy, R ecosystem</w:t>
            </w:r>
          </w:p>
        </w:tc>
        <w:tc>
          <w:tcPr>
            <w:tcW w:type="dxa" w:w="2880"/>
          </w:tcPr>
          <w:p>
            <w:r>
              <w:rPr>
                <w:sz w:val="18"/>
              </w:rPr>
              <w:t>CPU-only, no clinical workflows, no API, no cross-agent</w:t>
            </w:r>
          </w:p>
        </w:tc>
      </w:tr>
      <w:tr>
        <w:tc>
          <w:tcPr>
            <w:tcW w:type="dxa" w:w="2880"/>
          </w:tcPr>
          <w:p>
            <w:r>
              <w:rPr>
                <w:sz w:val="18"/>
              </w:rPr>
              <w:t>CellRanger (10x)</w:t>
            </w:r>
          </w:p>
        </w:tc>
        <w:tc>
          <w:tcPr>
            <w:tcW w:type="dxa" w:w="2880"/>
          </w:tcPr>
          <w:p>
            <w:r>
              <w:rPr>
                <w:sz w:val="18"/>
              </w:rPr>
              <w:t>Proprietary 10x preprocessing</w:t>
            </w:r>
          </w:p>
        </w:tc>
        <w:tc>
          <w:tcPr>
            <w:tcW w:type="dxa" w:w="2880"/>
          </w:tcPr>
          <w:p>
            <w:r>
              <w:rPr>
                <w:sz w:val="18"/>
              </w:rPr>
              <w:t>Vendor-locked, no clinical interpretation, no analysis beyond clustering</w:t>
            </w:r>
          </w:p>
        </w:tc>
      </w:tr>
      <w:tr>
        <w:tc>
          <w:tcPr>
            <w:tcW w:type="dxa" w:w="2880"/>
          </w:tcPr>
          <w:p>
            <w:r>
              <w:rPr>
                <w:sz w:val="18"/>
              </w:rPr>
              <w:t>RAPIDS single-cell</w:t>
            </w:r>
          </w:p>
        </w:tc>
        <w:tc>
          <w:tcPr>
            <w:tcW w:type="dxa" w:w="2880"/>
          </w:tcPr>
          <w:p>
            <w:r>
              <w:rPr>
                <w:sz w:val="18"/>
              </w:rPr>
              <w:t>GPU-accelerated computation</w:t>
            </w:r>
          </w:p>
        </w:tc>
        <w:tc>
          <w:tcPr>
            <w:tcW w:type="dxa" w:w="2880"/>
          </w:tcPr>
          <w:p>
            <w:r>
              <w:rPr>
                <w:sz w:val="18"/>
              </w:rPr>
              <w:t>Computation only — no knowledge base, no clinical workflows, no TME, no RAG</w:t>
            </w:r>
          </w:p>
        </w:tc>
      </w:tr>
      <w:tr>
        <w:tc>
          <w:tcPr>
            <w:tcW w:type="dxa" w:w="2880"/>
          </w:tcPr>
          <w:p>
            <w:r>
              <w:rPr>
                <w:sz w:val="18"/>
              </w:rPr>
              <w:t>Seven Bridges / Terra</w:t>
            </w:r>
          </w:p>
        </w:tc>
        <w:tc>
          <w:tcPr>
            <w:tcW w:type="dxa" w:w="2880"/>
          </w:tcPr>
          <w:p>
            <w:r>
              <w:rPr>
                <w:sz w:val="18"/>
              </w:rPr>
              <w:t>Cloud genomics workflow execution</w:t>
            </w:r>
          </w:p>
        </w:tc>
        <w:tc>
          <w:tcPr>
            <w:tcW w:type="dxa" w:w="2880"/>
          </w:tcPr>
          <w:p>
            <w:r>
              <w:rPr>
                <w:sz w:val="18"/>
              </w:rPr>
              <w:t>Generic compute, pay-per-analysis, no single-cell clinical intelligence</w:t>
            </w:r>
          </w:p>
        </w:tc>
      </w:tr>
      <w:tr>
        <w:tc>
          <w:tcPr>
            <w:tcW w:type="dxa" w:w="2880"/>
          </w:tcPr>
          <w:p>
            <w:r>
              <w:rPr>
                <w:sz w:val="18"/>
              </w:rPr>
              <w:t>scvi-tools</w:t>
            </w:r>
          </w:p>
        </w:tc>
        <w:tc>
          <w:tcPr>
            <w:tcW w:type="dxa" w:w="2880"/>
          </w:tcPr>
          <w:p>
            <w:r>
              <w:rPr>
                <w:sz w:val="18"/>
              </w:rPr>
              <w:t>Deep learning for scRNA-seq</w:t>
            </w:r>
          </w:p>
        </w:tc>
        <w:tc>
          <w:tcPr>
            <w:tcW w:type="dxa" w:w="2880"/>
          </w:tcPr>
          <w:p>
            <w:r>
              <w:rPr>
                <w:sz w:val="18"/>
              </w:rPr>
              <w:t>Method library, not clinical platform — no workflows, no drug response</w:t>
            </w:r>
          </w:p>
        </w:tc>
      </w:tr>
      <w:tr>
        <w:tc>
          <w:tcPr>
            <w:tcW w:type="dxa" w:w="2880"/>
          </w:tcPr>
          <w:p>
            <w:r>
              <w:rPr>
                <w:sz w:val="18"/>
              </w:rPr>
              <w:t>CellxGene (CZI)</w:t>
            </w:r>
          </w:p>
        </w:tc>
        <w:tc>
          <w:tcPr>
            <w:tcW w:type="dxa" w:w="2880"/>
          </w:tcPr>
          <w:p>
            <w:r>
              <w:rPr>
                <w:sz w:val="18"/>
              </w:rPr>
              <w:t>Dataset exploration/visualization</w:t>
            </w:r>
          </w:p>
        </w:tc>
        <w:tc>
          <w:tcPr>
            <w:tcW w:type="dxa" w:w="2880"/>
          </w:tcPr>
          <w:p>
            <w:r>
              <w:rPr>
                <w:sz w:val="18"/>
              </w:rPr>
              <w:t>Read-only atlas browser — no analysis, no clinical decision support</w:t>
            </w:r>
          </w:p>
        </w:tc>
      </w:tr>
    </w:tbl>
    <w:p/>
    <w:p>
      <w:pPr>
        <w:pStyle w:val="Heading2"/>
      </w:pPr>
      <w:r>
        <w:rPr>
          <w:color w:val="1AAFCC"/>
          <w:sz w:val="28"/>
        </w:rPr>
        <w:t>What Makes This Architecturally Novel</w:t>
      </w:r>
    </w:p>
    <w:p>
      <w:r>
        <w:rPr>
          <w:b/>
          <w:color w:val="333333"/>
          <w:sz w:val="20"/>
        </w:rPr>
        <w:t>Clinical intelligence, not just computation:</w:t>
      </w:r>
    </w:p>
    <w:p>
      <w:r>
        <w:rPr>
          <w:b w:val="0"/>
          <w:color w:val="333333"/>
          <w:sz w:val="20"/>
        </w:rPr>
        <w:t>Every existing tool does computation (clustering, DE, visualization). None tell you what to DO. Your agent has 10 workflows that translate cellular data into treatment decisions: TME class → immunotherapy strategy. Subclonal architecture → resistance timeline. Target expression → CAR-T safety.</w:t>
      </w:r>
    </w:p>
    <w:p>
      <w:r>
        <w:rPr>
          <w:b/>
          <w:color w:val="333333"/>
          <w:sz w:val="20"/>
        </w:rPr>
        <w:t>Knowledge-base-grounded interpretation:</w:t>
      </w:r>
    </w:p>
    <w:p>
      <w:r>
        <w:rPr>
          <w:b w:val="0"/>
          <w:color w:val="333333"/>
          <w:sz w:val="20"/>
        </w:rPr>
        <w:t>44 cell types with ontology IDs, 75 canonical markers, 10 immune signatures, 25 ligand-receptor pairs, 12 cancer-specific TME profiles, 30 drug sensitivity entries. Every analysis is grounded in curated clinical knowledge, not just statistical output.</w:t>
      </w:r>
    </w:p>
    <w:p>
      <w:r>
        <w:rPr>
          <w:b/>
          <w:color w:val="333333"/>
          <w:sz w:val="20"/>
        </w:rPr>
        <w:t>GPU acceleration that makes it clinical:</w:t>
      </w:r>
    </w:p>
    <w:p>
      <w:r>
        <w:rPr>
          <w:b w:val="0"/>
          <w:color w:val="333333"/>
          <w:sz w:val="20"/>
        </w:rPr>
        <w:t>500K cells in &lt;2 minutes (74x CPU speedup). Clinical turnaround requires hours, not days. RAPIDS on DGX Spark is the enabler. No other single-cell clinical platform has GPU-native processing.</w:t>
      </w:r>
    </w:p>
    <w:p>
      <w:r>
        <w:rPr>
          <w:b/>
          <w:color w:val="333333"/>
          <w:sz w:val="20"/>
        </w:rPr>
        <w:t>Cross-agent molecular coordination:</w:t>
      </w:r>
    </w:p>
    <w:p>
      <w:r>
        <w:rPr>
          <w:b w:val="0"/>
          <w:color w:val="333333"/>
          <w:sz w:val="20"/>
        </w:rPr>
        <w:t>Resistant subclone → Oncology Agent recommends alternative therapy. Validated CAR-T target → CAR-T Agent assesses construct design. New biomarker → Clinical Trial Agent matches to enrichment trials. Cell-type-specific variant → Rare Disease Agent checks known conditions. 10 companion agents.</w:t>
      </w:r>
    </w:p>
    <w:p>
      <w:r>
        <w:rPr>
          <w:b/>
          <w:color w:val="333333"/>
          <w:sz w:val="20"/>
        </w:rPr>
        <w:t>Cancer-specific TME atlas:</w:t>
      </w:r>
    </w:p>
    <w:p>
      <w:r>
        <w:rPr>
          <w:b w:val="0"/>
          <w:color w:val="333333"/>
          <w:sz w:val="20"/>
        </w:rPr>
        <w:t>12 cancer types with pre-characterized microenvironment patterns, cell composition percentages, checkpoint expression, and treatment response predictions. Context that no current tool provides.</w:t>
      </w:r>
    </w:p>
    <w:p>
      <w:r>
        <w:rPr>
          <w:b/>
          <w:color w:val="333333"/>
          <w:sz w:val="20"/>
        </w:rPr>
        <w:t>Foundation model readiness:</w:t>
      </w:r>
    </w:p>
    <w:p>
      <w:r>
        <w:rPr>
          <w:b w:val="0"/>
          <w:color w:val="333333"/>
          <w:sz w:val="20"/>
        </w:rPr>
        <w:t>scGPT, Geneformer, and scFoundation documented as Phase 2/3 integration targets. Architecture ready for foundation model embeddings to replace PCA for Milvus vectors. Future-proof design.</w:t>
      </w:r>
    </w:p>
    <w:p>
      <w:r>
        <w:rPr>
          <w:b/>
          <w:color w:val="333333"/>
          <w:sz w:val="20"/>
        </w:rPr>
        <w:t>Open source on $3,999 hardware:</w:t>
      </w:r>
    </w:p>
    <w:p>
      <w:r>
        <w:rPr>
          <w:b w:val="0"/>
          <w:color w:val="333333"/>
          <w:sz w:val="20"/>
        </w:rPr>
        <w:t>Seven Bridges: per-compute-hour. Terra: Google Cloud billing. Commercial services: $5,000-10,000/sample. Your agent: $3,999 total, Apache 2.0. A cancer lab in Lagos processes samples for the cost of electricity.</w:t>
      </w:r>
    </w:p>
    <w:p>
      <w:r>
        <w:br w:type="page"/>
      </w:r>
    </w:p>
    <w:p>
      <w:pPr>
        <w:pStyle w:val="Heading1"/>
      </w:pPr>
      <w:r>
        <w:rPr>
          <w:color w:val="1B2333"/>
          <w:sz w:val="36"/>
        </w:rPr>
        <w:t>Platform Capability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Capability</w:t>
            </w:r>
          </w:p>
        </w:tc>
        <w:tc>
          <w:tcPr>
            <w:tcW w:type="dxa" w:w="2880"/>
          </w:tcPr>
          <w:p>
            <w:r>
              <w:rPr>
                <w:b/>
                <w:sz w:val="18"/>
              </w:rPr>
              <w:t>Count</w:t>
            </w:r>
          </w:p>
        </w:tc>
        <w:tc>
          <w:tcPr>
            <w:tcW w:type="dxa" w:w="2880"/>
          </w:tcPr>
          <w:p>
            <w:r>
              <w:rPr>
                <w:b/>
                <w:sz w:val="18"/>
              </w:rPr>
              <w:t>Detail</w:t>
            </w:r>
          </w:p>
        </w:tc>
      </w:tr>
      <w:tr>
        <w:tc>
          <w:tcPr>
            <w:tcW w:type="dxa" w:w="2880"/>
          </w:tcPr>
          <w:p>
            <w:r>
              <w:rPr>
                <w:sz w:val="18"/>
              </w:rPr>
              <w:t>Analytical Workflows</w:t>
            </w:r>
          </w:p>
        </w:tc>
        <w:tc>
          <w:tcPr>
            <w:tcW w:type="dxa" w:w="2880"/>
          </w:tcPr>
          <w:p>
            <w:r>
              <w:rPr>
                <w:sz w:val="18"/>
              </w:rPr>
              <w:t>10</w:t>
            </w:r>
          </w:p>
        </w:tc>
        <w:tc>
          <w:tcPr>
            <w:tcW w:type="dxa" w:w="2880"/>
          </w:tcPr>
          <w:p>
            <w:r>
              <w:rPr>
                <w:sz w:val="18"/>
              </w:rPr>
              <w:t>Cell Type Annotation, TME Profiling, Drug Response, Subclonal Architecture, Spatial Niche, Trajectory, Ligand-Receptor, Biomarker Discovery, CAR-T Validation, Treatment Monitoring</w:t>
            </w:r>
          </w:p>
        </w:tc>
      </w:tr>
      <w:tr>
        <w:tc>
          <w:tcPr>
            <w:tcW w:type="dxa" w:w="2880"/>
          </w:tcPr>
          <w:p>
            <w:r>
              <w:rPr>
                <w:sz w:val="18"/>
              </w:rPr>
              <w:t>Decision Support Engines</w:t>
            </w:r>
          </w:p>
        </w:tc>
        <w:tc>
          <w:tcPr>
            <w:tcW w:type="dxa" w:w="2880"/>
          </w:tcPr>
          <w:p>
            <w:r>
              <w:rPr>
                <w:sz w:val="18"/>
              </w:rPr>
              <w:t>4</w:t>
            </w:r>
          </w:p>
        </w:tc>
        <w:tc>
          <w:tcPr>
            <w:tcW w:type="dxa" w:w="2880"/>
          </w:tcPr>
          <w:p>
            <w:r>
              <w:rPr>
                <w:sz w:val="18"/>
              </w:rPr>
              <w:t>TME Classifier (4-class), Subclonal Risk Scorer, Target Expression Validator, Cellular Deconvolution</w:t>
            </w:r>
          </w:p>
        </w:tc>
      </w:tr>
      <w:tr>
        <w:tc>
          <w:tcPr>
            <w:tcW w:type="dxa" w:w="2880"/>
          </w:tcPr>
          <w:p>
            <w:r>
              <w:rPr>
                <w:sz w:val="18"/>
              </w:rPr>
              <w:t>Vector Collections</w:t>
            </w:r>
          </w:p>
        </w:tc>
        <w:tc>
          <w:tcPr>
            <w:tcW w:type="dxa" w:w="2880"/>
          </w:tcPr>
          <w:p>
            <w:r>
              <w:rPr>
                <w:sz w:val="18"/>
              </w:rPr>
              <w:t>12</w:t>
            </w:r>
          </w:p>
        </w:tc>
        <w:tc>
          <w:tcPr>
            <w:tcW w:type="dxa" w:w="2880"/>
          </w:tcPr>
          <w:p>
            <w:r>
              <w:rPr>
                <w:sz w:val="18"/>
              </w:rPr>
              <w:t>11 single-cell-specific + 1 shared genomic_evidence</w:t>
            </w:r>
          </w:p>
        </w:tc>
      </w:tr>
      <w:tr>
        <w:tc>
          <w:tcPr>
            <w:tcW w:type="dxa" w:w="2880"/>
          </w:tcPr>
          <w:p>
            <w:r>
              <w:rPr>
                <w:sz w:val="18"/>
              </w:rPr>
              <w:t>Cell Type Atlas</w:t>
            </w:r>
          </w:p>
        </w:tc>
        <w:tc>
          <w:tcPr>
            <w:tcW w:type="dxa" w:w="2880"/>
          </w:tcPr>
          <w:p>
            <w:r>
              <w:rPr>
                <w:sz w:val="18"/>
              </w:rPr>
              <w:t>44</w:t>
            </w:r>
          </w:p>
        </w:tc>
        <w:tc>
          <w:tcPr>
            <w:tcW w:type="dxa" w:w="2880"/>
          </w:tcPr>
          <w:p>
            <w:r>
              <w:rPr>
                <w:sz w:val="18"/>
              </w:rPr>
              <w:t>With Cell Ontology IDs, 5+ markers each, tissue associations</w:t>
            </w:r>
          </w:p>
        </w:tc>
      </w:tr>
      <w:tr>
        <w:tc>
          <w:tcPr>
            <w:tcW w:type="dxa" w:w="2880"/>
          </w:tcPr>
          <w:p>
            <w:r>
              <w:rPr>
                <w:sz w:val="18"/>
              </w:rPr>
              <w:t>Drug Sensitivity DB</w:t>
            </w:r>
          </w:p>
        </w:tc>
        <w:tc>
          <w:tcPr>
            <w:tcW w:type="dxa" w:w="2880"/>
          </w:tcPr>
          <w:p>
            <w:r>
              <w:rPr>
                <w:sz w:val="18"/>
              </w:rPr>
              <w:t>30</w:t>
            </w:r>
          </w:p>
        </w:tc>
        <w:tc>
          <w:tcPr>
            <w:tcW w:type="dxa" w:w="2880"/>
          </w:tcPr>
          <w:p>
            <w:r>
              <w:rPr>
                <w:sz w:val="18"/>
              </w:rPr>
              <w:t>Targets, mechanisms, sensitive/resistant cell types, IC50</w:t>
            </w:r>
          </w:p>
        </w:tc>
      </w:tr>
      <w:tr>
        <w:tc>
          <w:tcPr>
            <w:tcW w:type="dxa" w:w="2880"/>
          </w:tcPr>
          <w:p>
            <w:r>
              <w:rPr>
                <w:sz w:val="18"/>
              </w:rPr>
              <w:t>Marker Gene DB</w:t>
            </w:r>
          </w:p>
        </w:tc>
        <w:tc>
          <w:tcPr>
            <w:tcW w:type="dxa" w:w="2880"/>
          </w:tcPr>
          <w:p>
            <w:r>
              <w:rPr>
                <w:sz w:val="18"/>
              </w:rPr>
              <w:t>75</w:t>
            </w:r>
          </w:p>
        </w:tc>
        <w:tc>
          <w:tcPr>
            <w:tcW w:type="dxa" w:w="2880"/>
          </w:tcPr>
          <w:p>
            <w:r>
              <w:rPr>
                <w:sz w:val="18"/>
              </w:rPr>
              <w:t>Canonical markers with cell type associations and specificity</w:t>
            </w:r>
          </w:p>
        </w:tc>
      </w:tr>
      <w:tr>
        <w:tc>
          <w:tcPr>
            <w:tcW w:type="dxa" w:w="2880"/>
          </w:tcPr>
          <w:p>
            <w:r>
              <w:rPr>
                <w:sz w:val="18"/>
              </w:rPr>
              <w:t>Immune Signatures</w:t>
            </w:r>
          </w:p>
        </w:tc>
        <w:tc>
          <w:tcPr>
            <w:tcW w:type="dxa" w:w="2880"/>
          </w:tcPr>
          <w:p>
            <w:r>
              <w:rPr>
                <w:sz w:val="18"/>
              </w:rPr>
              <w:t>10</w:t>
            </w:r>
          </w:p>
        </w:tc>
        <w:tc>
          <w:tcPr>
            <w:tcW w:type="dxa" w:w="2880"/>
          </w:tcPr>
          <w:p>
            <w:r>
              <w:rPr>
                <w:sz w:val="18"/>
              </w:rPr>
              <w:t>Cytotoxic, exhaustion, memory, TRM, M1/M2, regulatory, MDSC, CAF</w:t>
            </w:r>
          </w:p>
        </w:tc>
      </w:tr>
      <w:tr>
        <w:tc>
          <w:tcPr>
            <w:tcW w:type="dxa" w:w="2880"/>
          </w:tcPr>
          <w:p>
            <w:r>
              <w:rPr>
                <w:sz w:val="18"/>
              </w:rPr>
              <w:t>Ligand-Receptor Pairs</w:t>
            </w:r>
          </w:p>
        </w:tc>
        <w:tc>
          <w:tcPr>
            <w:tcW w:type="dxa" w:w="2880"/>
          </w:tcPr>
          <w:p>
            <w:r>
              <w:rPr>
                <w:sz w:val="18"/>
              </w:rPr>
              <w:t>25</w:t>
            </w:r>
          </w:p>
        </w:tc>
        <w:tc>
          <w:tcPr>
            <w:tcW w:type="dxa" w:w="2880"/>
          </w:tcPr>
          <w:p>
            <w:r>
              <w:rPr>
                <w:sz w:val="18"/>
              </w:rPr>
              <w:t>PD1-PDL1 through NOTCH1-DLL1 with pathway and clinical relevance</w:t>
            </w:r>
          </w:p>
        </w:tc>
      </w:tr>
      <w:tr>
        <w:tc>
          <w:tcPr>
            <w:tcW w:type="dxa" w:w="2880"/>
          </w:tcPr>
          <w:p>
            <w:r>
              <w:rPr>
                <w:sz w:val="18"/>
              </w:rPr>
              <w:t>Cancer TME Atlas</w:t>
            </w:r>
          </w:p>
        </w:tc>
        <w:tc>
          <w:tcPr>
            <w:tcW w:type="dxa" w:w="2880"/>
          </w:tcPr>
          <w:p>
            <w:r>
              <w:rPr>
                <w:sz w:val="18"/>
              </w:rPr>
              <w:t>12</w:t>
            </w:r>
          </w:p>
        </w:tc>
        <w:tc>
          <w:tcPr>
            <w:tcW w:type="dxa" w:w="2880"/>
          </w:tcPr>
          <w:p>
            <w:r>
              <w:rPr>
                <w:sz w:val="18"/>
              </w:rPr>
              <w:t>Per-cancer immune composition, checkpoint expression, treatment response</w:t>
            </w:r>
          </w:p>
        </w:tc>
      </w:tr>
      <w:tr>
        <w:tc>
          <w:tcPr>
            <w:tcW w:type="dxa" w:w="2880"/>
          </w:tcPr>
          <w:p>
            <w:r>
              <w:rPr>
                <w:sz w:val="18"/>
              </w:rPr>
              <w:t>Spatial Platforms</w:t>
            </w:r>
          </w:p>
        </w:tc>
        <w:tc>
          <w:tcPr>
            <w:tcW w:type="dxa" w:w="2880"/>
          </w:tcPr>
          <w:p>
            <w:r>
              <w:rPr>
                <w:sz w:val="18"/>
              </w:rPr>
              <w:t>4</w:t>
            </w:r>
          </w:p>
        </w:tc>
        <w:tc>
          <w:tcPr>
            <w:tcW w:type="dxa" w:w="2880"/>
          </w:tcPr>
          <w:p>
            <w:r>
              <w:rPr>
                <w:sz w:val="18"/>
              </w:rPr>
              <w:t>Visium, MERFISH, Xenium, CODEX with analysis methods</w:t>
            </w:r>
          </w:p>
        </w:tc>
      </w:tr>
      <w:tr>
        <w:tc>
          <w:tcPr>
            <w:tcW w:type="dxa" w:w="2880"/>
          </w:tcPr>
          <w:p>
            <w:r>
              <w:rPr>
                <w:sz w:val="18"/>
              </w:rPr>
              <w:t>Foundation Models</w:t>
            </w:r>
          </w:p>
        </w:tc>
        <w:tc>
          <w:tcPr>
            <w:tcW w:type="dxa" w:w="2880"/>
          </w:tcPr>
          <w:p>
            <w:r>
              <w:rPr>
                <w:sz w:val="18"/>
              </w:rPr>
              <w:t>3</w:t>
            </w:r>
          </w:p>
        </w:tc>
        <w:tc>
          <w:tcPr>
            <w:tcW w:type="dxa" w:w="2880"/>
          </w:tcPr>
          <w:p>
            <w:r>
              <w:rPr>
                <w:sz w:val="18"/>
              </w:rPr>
              <w:t>scGPT, Geneformer, scFoundation (Phase 2/3 roadmap)</w:t>
            </w:r>
          </w:p>
        </w:tc>
      </w:tr>
      <w:tr>
        <w:tc>
          <w:tcPr>
            <w:tcW w:type="dxa" w:w="2880"/>
          </w:tcPr>
          <w:p>
            <w:r>
              <w:rPr>
                <w:sz w:val="18"/>
              </w:rPr>
              <w:t>GPU Benchmarks</w:t>
            </w:r>
          </w:p>
        </w:tc>
        <w:tc>
          <w:tcPr>
            <w:tcW w:type="dxa" w:w="2880"/>
          </w:tcPr>
          <w:p>
            <w:r>
              <w:rPr>
                <w:sz w:val="18"/>
              </w:rPr>
              <w:t>4</w:t>
            </w:r>
          </w:p>
        </w:tc>
        <w:tc>
          <w:tcPr>
            <w:tcW w:type="dxa" w:w="2880"/>
          </w:tcPr>
          <w:p>
            <w:r>
              <w:rPr>
                <w:sz w:val="18"/>
              </w:rPr>
              <w:t>10K-500K cells with 22x-74x speedup data</w:t>
            </w:r>
          </w:p>
        </w:tc>
      </w:tr>
      <w:tr>
        <w:tc>
          <w:tcPr>
            <w:tcW w:type="dxa" w:w="2880"/>
          </w:tcPr>
          <w:p>
            <w:r>
              <w:rPr>
                <w:sz w:val="18"/>
              </w:rPr>
              <w:t>Agent Conditions</w:t>
            </w:r>
          </w:p>
        </w:tc>
        <w:tc>
          <w:tcPr>
            <w:tcW w:type="dxa" w:w="2880"/>
          </w:tcPr>
          <w:p>
            <w:r>
              <w:rPr>
                <w:sz w:val="18"/>
              </w:rPr>
              <w:t>36</w:t>
            </w:r>
          </w:p>
        </w:tc>
        <w:tc>
          <w:tcPr>
            <w:tcW w:type="dxa" w:w="2880"/>
          </w:tcPr>
          <w:p>
            <w:r>
              <w:rPr>
                <w:sz w:val="18"/>
              </w:rPr>
              <w:t>Cancer, autoimmune, developmental, fibrotic, regenerative</w:t>
            </w:r>
          </w:p>
        </w:tc>
      </w:tr>
      <w:tr>
        <w:tc>
          <w:tcPr>
            <w:tcW w:type="dxa" w:w="2880"/>
          </w:tcPr>
          <w:p>
            <w:r>
              <w:rPr>
                <w:sz w:val="18"/>
              </w:rPr>
              <w:t>Agent Cell Types</w:t>
            </w:r>
          </w:p>
        </w:tc>
        <w:tc>
          <w:tcPr>
            <w:tcW w:type="dxa" w:w="2880"/>
          </w:tcPr>
          <w:p>
            <w:r>
              <w:rPr>
                <w:sz w:val="18"/>
              </w:rPr>
              <w:t>31</w:t>
            </w:r>
          </w:p>
        </w:tc>
        <w:tc>
          <w:tcPr>
            <w:tcW w:type="dxa" w:w="2880"/>
          </w:tcPr>
          <w:p>
            <w:r>
              <w:rPr>
                <w:sz w:val="18"/>
              </w:rPr>
              <w:t>With ontology IDs and canonical markers</w:t>
            </w:r>
          </w:p>
        </w:tc>
      </w:tr>
      <w:tr>
        <w:tc>
          <w:tcPr>
            <w:tcW w:type="dxa" w:w="2880"/>
          </w:tcPr>
          <w:p>
            <w:r>
              <w:rPr>
                <w:sz w:val="18"/>
              </w:rPr>
              <w:t>Agent Biomarkers</w:t>
            </w:r>
          </w:p>
        </w:tc>
        <w:tc>
          <w:tcPr>
            <w:tcW w:type="dxa" w:w="2880"/>
          </w:tcPr>
          <w:p>
            <w:r>
              <w:rPr>
                <w:sz w:val="18"/>
              </w:rPr>
              <w:t>23</w:t>
            </w:r>
          </w:p>
        </w:tc>
        <w:tc>
          <w:tcPr>
            <w:tcW w:type="dxa" w:w="2880"/>
          </w:tcPr>
          <w:p>
            <w:r>
              <w:rPr>
                <w:sz w:val="18"/>
              </w:rPr>
              <w:t>From immune exclusion score to proliferation index</w:t>
            </w:r>
          </w:p>
        </w:tc>
      </w:tr>
      <w:tr>
        <w:tc>
          <w:tcPr>
            <w:tcW w:type="dxa" w:w="2880"/>
          </w:tcPr>
          <w:p>
            <w:r>
              <w:rPr>
                <w:sz w:val="18"/>
              </w:rPr>
              <w:t>Query Synonym Maps</w:t>
            </w:r>
          </w:p>
        </w:tc>
        <w:tc>
          <w:tcPr>
            <w:tcW w:type="dxa" w:w="2880"/>
          </w:tcPr>
          <w:p>
            <w:r>
              <w:rPr>
                <w:sz w:val="18"/>
              </w:rPr>
              <w:t>14</w:t>
            </w:r>
          </w:p>
        </w:tc>
        <w:tc>
          <w:tcPr>
            <w:tcW w:type="dxa" w:w="2880"/>
          </w:tcPr>
          <w:p>
            <w:r>
              <w:rPr>
                <w:sz w:val="18"/>
              </w:rPr>
              <w:t>232 entity aliases across cell biology domain</w:t>
            </w:r>
          </w:p>
        </w:tc>
      </w:tr>
      <w:tr>
        <w:tc>
          <w:tcPr>
            <w:tcW w:type="dxa" w:w="2880"/>
          </w:tcPr>
          <w:p>
            <w:r>
              <w:rPr>
                <w:sz w:val="18"/>
              </w:rPr>
              <w:t>Ingest Seeds</w:t>
            </w:r>
          </w:p>
        </w:tc>
        <w:tc>
          <w:tcPr>
            <w:tcW w:type="dxa" w:w="2880"/>
          </w:tcPr>
          <w:p>
            <w:r>
              <w:rPr>
                <w:sz w:val="18"/>
              </w:rPr>
              <w:t>144</w:t>
            </w:r>
          </w:p>
        </w:tc>
        <w:tc>
          <w:tcPr>
            <w:tcW w:type="dxa" w:w="2880"/>
          </w:tcPr>
          <w:p>
            <w:r>
              <w:rPr>
                <w:sz w:val="18"/>
              </w:rPr>
              <w:t>49 CellxGene + 75 markers + 20 TME profiles</w:t>
            </w:r>
          </w:p>
        </w:tc>
      </w:tr>
      <w:tr>
        <w:tc>
          <w:tcPr>
            <w:tcW w:type="dxa" w:w="2880"/>
          </w:tcPr>
          <w:p>
            <w:r>
              <w:rPr>
                <w:sz w:val="18"/>
              </w:rPr>
              <w:t>API Endpoints</w:t>
            </w:r>
          </w:p>
        </w:tc>
        <w:tc>
          <w:tcPr>
            <w:tcW w:type="dxa" w:w="2880"/>
          </w:tcPr>
          <w:p>
            <w:r>
              <w:rPr>
                <w:sz w:val="18"/>
              </w:rPr>
              <w:t>26</w:t>
            </w:r>
          </w:p>
        </w:tc>
        <w:tc>
          <w:tcPr>
            <w:tcW w:type="dxa" w:w="2880"/>
          </w:tcPr>
          <w:p>
            <w:r>
              <w:rPr>
                <w:sz w:val="18"/>
              </w:rPr>
              <w:t>REST API with auth, rate limiting, SSE events</w:t>
            </w:r>
          </w:p>
        </w:tc>
      </w:tr>
      <w:tr>
        <w:tc>
          <w:tcPr>
            <w:tcW w:type="dxa" w:w="2880"/>
          </w:tcPr>
          <w:p>
            <w:r>
              <w:rPr>
                <w:sz w:val="18"/>
              </w:rPr>
              <w:t>Tests</w:t>
            </w:r>
          </w:p>
        </w:tc>
        <w:tc>
          <w:tcPr>
            <w:tcW w:type="dxa" w:w="2880"/>
          </w:tcPr>
          <w:p>
            <w:r>
              <w:rPr>
                <w:sz w:val="18"/>
              </w:rPr>
              <w:t>185</w:t>
            </w:r>
          </w:p>
        </w:tc>
        <w:tc>
          <w:tcPr>
            <w:tcW w:type="dxa" w:w="2880"/>
          </w:tcPr>
          <w:p>
            <w:r>
              <w:rPr>
                <w:sz w:val="18"/>
              </w:rPr>
              <w:t>100% pass rate, 0.44s runtime</w:t>
            </w:r>
          </w:p>
        </w:tc>
      </w:tr>
      <w:tr>
        <w:tc>
          <w:tcPr>
            <w:tcW w:type="dxa" w:w="2880"/>
          </w:tcPr>
          <w:p>
            <w:r>
              <w:rPr>
                <w:sz w:val="18"/>
              </w:rPr>
              <w:t>Python LOC</w:t>
            </w:r>
          </w:p>
        </w:tc>
        <w:tc>
          <w:tcPr>
            <w:tcW w:type="dxa" w:w="2880"/>
          </w:tcPr>
          <w:p>
            <w:r>
              <w:rPr>
                <w:sz w:val="18"/>
              </w:rPr>
              <w:t>19,929</w:t>
            </w:r>
          </w:p>
        </w:tc>
        <w:tc>
          <w:tcPr>
            <w:tcW w:type="dxa" w:w="2880"/>
          </w:tcPr>
          <w:p>
            <w:r>
              <w:rPr>
                <w:sz w:val="18"/>
              </w:rPr>
              <w:t>42 files across all layers</w:t>
            </w:r>
          </w:p>
        </w:tc>
      </w:tr>
      <w:tr>
        <w:tc>
          <w:tcPr>
            <w:tcW w:type="dxa" w:w="2880"/>
          </w:tcPr>
          <w:p>
            <w:r>
              <w:rPr>
                <w:sz w:val="18"/>
              </w:rPr>
              <w:t>Cross-Agent Integration</w:t>
            </w:r>
          </w:p>
        </w:tc>
        <w:tc>
          <w:tcPr>
            <w:tcW w:type="dxa" w:w="2880"/>
          </w:tcPr>
          <w:p>
            <w:r>
              <w:rPr>
                <w:sz w:val="18"/>
              </w:rPr>
              <w:t>5 agents</w:t>
            </w:r>
          </w:p>
        </w:tc>
        <w:tc>
          <w:tcPr>
            <w:tcW w:type="dxa" w:w="2880"/>
          </w:tcPr>
          <w:p>
            <w:r>
              <w:rPr>
                <w:sz w:val="18"/>
              </w:rPr>
              <w:t>Oncology, CAR-T, Biomarker, Drug Discovery, Imaging</w:t>
            </w:r>
          </w:p>
        </w:tc>
      </w:tr>
    </w:tbl>
    <w:p/>
    <w:p>
      <w:pPr>
        <w:pStyle w:val="Heading2"/>
      </w:pPr>
      <w:r>
        <w:rPr>
          <w:color w:val="1AAFCC"/>
          <w:sz w:val="28"/>
        </w:rPr>
        <w:t>Bottom Line</w:t>
      </w:r>
    </w:p>
    <w:p>
      <w:r>
        <w:rPr>
          <w:b/>
          <w:color w:val="333333"/>
          <w:sz w:val="20"/>
        </w:rPr>
        <w:t>Single-cell genomics is the future of precision oncology. It reveals tumor heterogeneity that determines treatment success or failure, the immune landscape that predicts immunotherapy response, and the cellular dynamics that signal emerging resistance. But today, fewer than 1% of cancer patients have access to single-cell analysis.</w:t>
      </w:r>
    </w:p>
    <w:p>
      <w:r>
        <w:rPr>
          <w:b w:val="0"/>
          <w:color w:val="333333"/>
          <w:sz w:val="20"/>
        </w:rPr>
        <w:t>Your agent compresses weeks of specialized analysis to minutes on a desktop GPU, interprets results through 10 clinical workflows with knowledge-base-grounded decision support, and coordinates with 10 companion agents for comprehensive molecular intelligence. That is precision oncology at the resolution it was always meant to operate at — available to every oncologist on Earth.</w:t>
      </w:r>
    </w:p>
    <w:p/>
    <w:p>
      <w:r>
        <w:rPr>
          <w:color w:val="999999"/>
          <w:sz w:val="16"/>
        </w:rPr>
        <w:t>HCLS AI Factory — Single-Cell Intelligence Agent v3.0.0 | March 2026 | Adam Jones</w:t>
      </w:r>
      <w:r>
        <w:rPr>
          <w:color w:val="999999"/>
          <w:sz w:val="16"/>
        </w:rPr>
        <w:br/>
        <w:t>Apache 2.0 License | NVIDIA DGX Spark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