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Single-Cell Intelligence Agent -- White Paper</w:t>
      </w:r>
    </w:p>
    <w:p>
      <w:pPr>
        <w:pStyle w:val="Heading1"/>
      </w:pPr>
      <w:r>
        <w:t>Bridging the Resolution Gap: AI-Powered Single-Cell Decision Support for Precision Oncology</w:t>
      </w:r>
    </w:p>
    <w:p>
      <w:r/>
      <w:r>
        <w:rPr>
          <w:b/>
        </w:rPr>
        <w:t>Version:</w:t>
      </w:r>
      <w:r>
        <w:t xml:space="preserve"> 1.0.0</w:t>
      </w:r>
    </w:p>
    <w:p>
      <w:r/>
      <w:r>
        <w:rPr>
          <w:b/>
        </w:rPr>
        <w:t>Date:</w:t>
      </w:r>
      <w:r>
        <w:t xml:space="preserve"> 2026-03-22</w:t>
      </w:r>
    </w:p>
    <w:p>
      <w:r/>
      <w:r>
        <w:rPr>
          <w:b/>
        </w:rPr>
        <w:t>Author:</w:t>
      </w:r>
      <w:r>
        <w:t xml:space="preserve"> Adam Jones</w:t>
      </w:r>
    </w:p>
    <w:p>
      <w:r/>
      <w:r>
        <w:rPr>
          <w:b/>
        </w:rPr>
        <w:t>HCLS AI Factory</w:t>
      </w:r>
      <w:r/>
    </w:p>
    <w:p>
      <w:pPr>
        <w:pStyle w:val="Heading1"/>
      </w:pPr>
      <w:r>
        <w:t>Abstract</w:t>
      </w:r>
    </w:p>
    <w:p>
      <w:r>
        <w:t>Precision medicine has reached an inflection point. While bulk genomic profiling has transformed treatment selection for many cancers, it fundamentally cannot resolve the intra-tumor heterogeneity that drives treatment resistance, immune evasion, and therapeutic relapse. Single-cell RNA sequencing (scRNA-seq) and spatial transcriptomics technologies now provide cell-level resolution across tens of thousands of cells per biopsy, but the resulting data volumes overwhelm existing clinical interpretation workflows. We present the Single-Cell Intelligence Agent, a RAG-powered clinical decision support system that integrates 12 domain-specific vector collections, 10 analysis workflows, and 4 deterministic clinical decision engines to transform single-cell transcriptomic data into actionable treatment recommendations. The system classifies tumor microenvironments, predicts drug response at cellular resolution, validates CAR-T targets with on-tumor/off-tumor safety profiling, and monitors treatment response through longitudinal clonal dynamics -- all within clinical turnaround timelines.</w:t>
      </w:r>
    </w:p>
    <w:p>
      <w:pPr>
        <w:pStyle w:val="Heading1"/>
      </w:pPr>
      <w:r>
        <w:t>1. The Resolution Gap in Precision Medicine</w:t>
      </w:r>
    </w:p>
    <w:p>
      <w:pPr>
        <w:pStyle w:val="Heading2"/>
      </w:pPr>
      <w:r>
        <w:t>1.1 The Limitations of Bulk Profiling</w:t>
      </w:r>
    </w:p>
    <w:p>
      <w:r>
        <w:t>Modern oncology relies on molecular profiling to guide treatment selection. Tests like FoundationOne CDx and Tempus xT sequence tumor DNA and RNA from bulk tissue samples, identifying actionable mutations (EGFR, ALK, BRAF) and biomarkers (PD-L1 TPS, TMB, MSI status). These platforms have meaningfully improved patient outcomes across multiple cancer types.</w:t>
      </w:r>
    </w:p>
    <w:p>
      <w:r>
        <w:t>However, bulk profiling provides a population-averaged view that masks critical biological reality. A tumor biopsy reporting "PD-L1 TPS 40%" might contain:</w:t>
      </w:r>
    </w:p>
    <w:p>
      <w:pPr>
        <w:pStyle w:val="ListBullet"/>
      </w:pPr>
      <w:r>
        <w:t>A 30% region of immune-hot tissue with active CD8+ T cell infiltration and high PD-L1 expression</w:t>
      </w:r>
    </w:p>
    <w:p>
      <w:pPr>
        <w:pStyle w:val="ListBullet"/>
      </w:pPr>
      <w:r>
        <w:t>A 50% immune-cold desert with no immune infiltrate</w:t>
      </w:r>
    </w:p>
    <w:p>
      <w:pPr>
        <w:pStyle w:val="ListBullet"/>
      </w:pPr>
      <w:r>
        <w:t>A 20% immunosuppressive niche dominated by regulatory T cells and M2 macrophages</w:t>
      </w:r>
    </w:p>
    <w:p>
      <w:r>
        <w:t>The clinical implication of this heterogeneity is profound: the same patient might be classified as a "PD-L1 positive" candidate for pembrolizumab, when in fact the dominant microenvironment phenotype (cold desert) predicts non-response.</w:t>
      </w:r>
    </w:p>
    <w:p>
      <w:pPr>
        <w:pStyle w:val="Heading2"/>
      </w:pPr>
      <w:r>
        <w:t>1.2 Tumor Heterogeneity and Treatment Failure</w:t>
      </w:r>
    </w:p>
    <w:p>
      <w:r>
        <w:t>Intra-tumor heterogeneity is the primary driver of treatment failure in solid tumors:</w:t>
      </w:r>
    </w:p>
    <w:p>
      <w:pPr>
        <w:pStyle w:val="ListBullet"/>
      </w:pPr>
      <w:r>
        <w:t>**Subclonal resistance:** A minor clone (5% of cells) carrying a resistance mutation can expand under selective pressure to become the dominant population within weeks of treatment initiation</w:t>
      </w:r>
    </w:p>
    <w:p>
      <w:pPr>
        <w:pStyle w:val="ListBullet"/>
      </w:pPr>
      <w:r>
        <w:t>**Immune evasion:** Tumor cells in spatial niches adjacent to exhausted T cells may evade immune surveillance despite an overall "hot" classification</w:t>
      </w:r>
    </w:p>
    <w:p>
      <w:pPr>
        <w:pStyle w:val="ListBullet"/>
      </w:pPr>
      <w:r>
        <w:t>**Therapeutic index variability:** A CAR-T target expressed on 85% of tumor cells but also on critical normal tissues in the heart or brain creates unacceptable on-target off-tumor toxicity</w:t>
      </w:r>
    </w:p>
    <w:p>
      <w:r>
        <w:t>None of these phenomena are detectable at bulk resolution.</w:t>
      </w:r>
    </w:p>
    <w:p>
      <w:pPr>
        <w:pStyle w:val="Heading2"/>
      </w:pPr>
      <w:r>
        <w:t>1.3 The Single-Cell Revolution</w:t>
      </w:r>
    </w:p>
    <w:p>
      <w:r>
        <w:t>Single-cell RNA sequencing now profiles 10,000 to 500,000 individual cells per experiment, measuring expression of 20,000+ genes per cell. Complementary technologies extend this to multiple modalities:</w:t>
      </w:r>
    </w:p>
    <w:p>
      <w:r>
        <w:t>| Technology | Resolution | Measurement | Clinical Insight |</w:t>
      </w:r>
    </w:p>
    <w:p>
      <w:r>
        <w:t>|-----------|-----------|-------------|-----------------|</w:t>
      </w:r>
    </w:p>
    <w:p>
      <w:r>
        <w:t>| scRNA-seq (10x Chromium) | Single cell | Transcriptome | Cell type composition, gene programs |</w:t>
      </w:r>
    </w:p>
    <w:p>
      <w:r>
        <w:t>| CITE-seq | Single cell | Transcriptome + surface proteins | Immune phenotyping with protein validation |</w:t>
      </w:r>
    </w:p>
    <w:p>
      <w:r>
        <w:t>| Spatial transcriptomics (Visium) | 55 um spots | Transcriptome | Tissue architecture, niche identification |</w:t>
      </w:r>
    </w:p>
    <w:p>
      <w:r>
        <w:t>| MERFISH | Subcellular | 100-500 gene panel | Single-molecule spatial resolution |</w:t>
      </w:r>
    </w:p>
    <w:p>
      <w:r>
        <w:t>| Xenium | Subcellular | 100-5000 gene panel | In situ cell typing |</w:t>
      </w:r>
    </w:p>
    <w:p>
      <w:r>
        <w:t>| scATAC-seq | Single cell | Chromatin accessibility | Epigenetic regulation |</w:t>
      </w:r>
    </w:p>
    <w:p>
      <w:r>
        <w:t>| Multiome | Single cell | Transcriptome + chromatin | Multi-omic integration |</w:t>
      </w:r>
    </w:p>
    <w:p>
      <w:r>
        <w:t>These technologies generate the data needed to resolve heterogeneity, but interpretation remains the bottleneck.</w:t>
      </w:r>
    </w:p>
    <w:p>
      <w:pPr>
        <w:pStyle w:val="Heading1"/>
      </w:pPr>
      <w:r>
        <w:t>2. The Interpretation Bottleneck</w:t>
      </w:r>
    </w:p>
    <w:p>
      <w:pPr>
        <w:pStyle w:val="Heading2"/>
      </w:pPr>
      <w:r>
        <w:t>2.1 Scale of the Problem</w:t>
      </w:r>
    </w:p>
    <w:p>
      <w:r>
        <w:t>A typical clinical single-cell experiment produces:</w:t>
      </w:r>
    </w:p>
    <w:p>
      <w:pPr>
        <w:pStyle w:val="ListBullet"/>
      </w:pPr>
      <w:r>
        <w:t>**50,000 cells** across 5-10 tissue samples</w:t>
      </w:r>
    </w:p>
    <w:p>
      <w:pPr>
        <w:pStyle w:val="ListBullet"/>
      </w:pPr>
      <w:r>
        <w:t>**20,000 genes** measured per cell</w:t>
      </w:r>
    </w:p>
    <w:p>
      <w:pPr>
        <w:pStyle w:val="ListBullet"/>
      </w:pPr>
      <w:r>
        <w:t>**1 billion data points** per experiment</w:t>
      </w:r>
    </w:p>
    <w:p>
      <w:pPr>
        <w:pStyle w:val="ListBullet"/>
      </w:pPr>
      <w:r>
        <w:t>**20-50 cell types** to identify and annotate</w:t>
      </w:r>
    </w:p>
    <w:p>
      <w:pPr>
        <w:pStyle w:val="ListBullet"/>
      </w:pPr>
      <w:r>
        <w:t>**Thousands of cell-cell interactions** to map</w:t>
      </w:r>
    </w:p>
    <w:p>
      <w:pPr>
        <w:pStyle w:val="ListBullet"/>
      </w:pPr>
      <w:r>
        <w:t>**Multiple resistance subclones** to detect</w:t>
      </w:r>
    </w:p>
    <w:p>
      <w:pPr>
        <w:pStyle w:val="Heading2"/>
      </w:pPr>
      <w:r>
        <w:t>2.2 Current Workflow Limitations</w:t>
      </w:r>
    </w:p>
    <w:p>
      <w:r>
        <w:t xml:space="preserve">A trained bioinformatician using standard tools (Scanpy, Seurat, CellChat) requires </w:t>
      </w:r>
      <w:r>
        <w:rPr>
          <w:b/>
        </w:rPr>
        <w:t>2-4 weeks</w:t>
      </w:r>
      <w:r>
        <w:t xml:space="preserve"> to:</w:t>
      </w:r>
    </w:p>
    <w:p>
      <w:r>
        <w:t>1. Quality control and preprocessing (2-3 days)</w:t>
      </w:r>
    </w:p>
    <w:p>
      <w:r>
        <w:t>2. Dimensionality reduction and clustering (1-2 days)</w:t>
      </w:r>
    </w:p>
    <w:p>
      <w:r>
        <w:t>3. Cell type annotation (3-5 days)</w:t>
      </w:r>
    </w:p>
    <w:p>
      <w:r>
        <w:t>4. Differential expression analysis (2-3 days)</w:t>
      </w:r>
    </w:p>
    <w:p>
      <w:r>
        <w:t>5. TME characterization (2-3 days)</w:t>
      </w:r>
    </w:p>
    <w:p>
      <w:r>
        <w:t>6. Drug response correlation (1-2 days)</w:t>
      </w:r>
    </w:p>
    <w:p>
      <w:r>
        <w:t>7. Report generation and clinical interpretation (2-3 days)</w:t>
      </w:r>
    </w:p>
    <w:p>
      <w:r>
        <w:t>Clinical turnaround expectations for molecular profiling are 7-14 days. The single-cell interpretation pipeline alone exceeds this window.</w:t>
      </w:r>
    </w:p>
    <w:p>
      <w:pPr>
        <w:pStyle w:val="Heading2"/>
      </w:pPr>
      <w:r>
        <w:t>2.3 Knowledge Integration Challenge</w:t>
      </w:r>
    </w:p>
    <w:p>
      <w:r>
        <w:t>Accurate single-cell interpretation requires simultaneous command of:</w:t>
      </w:r>
    </w:p>
    <w:p>
      <w:pPr>
        <w:pStyle w:val="ListBullet"/>
      </w:pPr>
      <w:r>
        <w:t>**Cell biology:** 44+ cell types with lineage hierarchies, activation states, and tissue-specific programs</w:t>
      </w:r>
    </w:p>
    <w:p>
      <w:pPr>
        <w:pStyle w:val="ListBullet"/>
      </w:pPr>
      <w:r>
        <w:t>**Immuno-oncology:** TME classification systems, checkpoint biology, exhaustion signatures</w:t>
      </w:r>
    </w:p>
    <w:p>
      <w:pPr>
        <w:pStyle w:val="ListBullet"/>
      </w:pPr>
      <w:r>
        <w:t>**Pharmacology:** Drug mechanism databases, sensitivity signatures, resistance mechanisms</w:t>
      </w:r>
    </w:p>
    <w:p>
      <w:pPr>
        <w:pStyle w:val="ListBullet"/>
      </w:pPr>
      <w:r>
        <w:t>**Spatial biology:** Platform-specific analysis methods, niche identification algorithms</w:t>
      </w:r>
    </w:p>
    <w:p>
      <w:pPr>
        <w:pStyle w:val="ListBullet"/>
      </w:pPr>
      <w:r>
        <w:t>**Clinical oncology:** Treatment guidelines, trial eligibility, biomarker thresholds</w:t>
      </w:r>
    </w:p>
    <w:p>
      <w:r>
        <w:t>No individual analyst maintains current expertise across all these domains simultaneously.</w:t>
      </w:r>
    </w:p>
    <w:p>
      <w:pPr>
        <w:pStyle w:val="Heading1"/>
      </w:pPr>
      <w:r>
        <w:t>3. GPU-Accelerated Processing: Why It Matters</w:t>
      </w:r>
    </w:p>
    <w:p>
      <w:pPr>
        <w:pStyle w:val="Heading2"/>
      </w:pPr>
      <w:r>
        <w:t>3.1 The Computational Bottleneck</w:t>
      </w:r>
    </w:p>
    <w:p>
      <w:r>
        <w:t>Single-cell analysis involves computationally intensive operations on high-dimensional sparse matrices:</w:t>
      </w:r>
    </w:p>
    <w:p>
      <w:r>
        <w:t>| Operation | CPU Time (50K cells) | GPU Time (RAPIDS) | Speedup |</w:t>
      </w:r>
    </w:p>
    <w:p>
      <w:r>
        <w:t>|-----------|---------------------|-------------------|---------|</w:t>
      </w:r>
    </w:p>
    <w:p>
      <w:r>
        <w:t>| PCA (50 components) | 45 seconds | 0.9 seconds | 50x |</w:t>
      </w:r>
    </w:p>
    <w:p>
      <w:r>
        <w:t>| UMAP embedding | 120 seconds | 2.4 seconds | 50x |</w:t>
      </w:r>
    </w:p>
    <w:p>
      <w:r>
        <w:t>| kNN graph (k=30) | 90 seconds | 0.8 seconds | 112x |</w:t>
      </w:r>
    </w:p>
    <w:p>
      <w:r>
        <w:t>| Leiden clustering | 30 seconds | 1.0 second | 30x |</w:t>
      </w:r>
    </w:p>
    <w:p>
      <w:r>
        <w:t>| Sparse matrix operations | 60 seconds | 2.5 seconds | 24x |</w:t>
      </w:r>
    </w:p>
    <w:p>
      <w:r>
        <w:t>| **Total pipeline** | **~6 minutes** | **~8 seconds** | **~45x** |</w:t>
      </w:r>
    </w:p>
    <w:p>
      <w:r>
        <w:t>For datasets exceeding 200,000 cells (increasingly common in clinical studies), CPU-based analysis becomes impractical with some operations exceeding 30 minutes.</w:t>
      </w:r>
    </w:p>
    <w:p>
      <w:pPr>
        <w:pStyle w:val="Heading2"/>
      </w:pPr>
      <w:r>
        <w:t>3.2 NVIDIA RAPIDS for Single-Cell Analysis</w:t>
      </w:r>
    </w:p>
    <w:p>
      <w:r>
        <w:t>RAPIDS provides a GPU-accelerated drop-in replacement for the core single-cell computational pipeline:</w:t>
      </w:r>
    </w:p>
    <w:p>
      <w:pPr>
        <w:pStyle w:val="ListBullet"/>
      </w:pPr>
      <w:r>
        <w:t>**cuML:** GPU-accelerated UMAP, PCA, k-means, HDBSCAN, t-SNE</w:t>
      </w:r>
    </w:p>
    <w:p>
      <w:pPr>
        <w:pStyle w:val="ListBullet"/>
      </w:pPr>
      <w:r>
        <w:t>**cuGraph:** GPU-accelerated graph operations for Leiden clustering and PAGA trajectory inference</w:t>
      </w:r>
    </w:p>
    <w:p>
      <w:pPr>
        <w:pStyle w:val="ListBullet"/>
      </w:pPr>
      <w:r>
        <w:t>**cuSPARSE:** GPU-accelerated sparse matrix operations for count matrices</w:t>
      </w:r>
    </w:p>
    <w:p>
      <w:pPr>
        <w:pStyle w:val="ListBullet"/>
      </w:pPr>
      <w:r>
        <w:t>**cuDF:** GPU-accelerated dataframes for metadata operations</w:t>
      </w:r>
    </w:p>
    <w:p>
      <w:r>
        <w:t>The Single-Cell Intelligence Agent architecture reserves GPU memory allocation for RAPIDS operations alongside vector search and foundation model inference.</w:t>
      </w:r>
    </w:p>
    <w:p>
      <w:pPr>
        <w:pStyle w:val="Heading2"/>
      </w:pPr>
      <w:r>
        <w:t>3.3 DGX Spark Platform</w:t>
      </w:r>
    </w:p>
    <w:p>
      <w:r>
        <w:t>The HCLS AI Factory runs on NVIDIA DGX Spark, providing:</w:t>
      </w:r>
    </w:p>
    <w:p>
      <w:pPr>
        <w:pStyle w:val="ListBullet"/>
      </w:pPr>
      <w:r>
        <w:t>128 GB GPU memory for computational workloads</w:t>
      </w:r>
    </w:p>
    <w:p>
      <w:pPr>
        <w:pStyle w:val="ListBullet"/>
      </w:pPr>
      <w:r>
        <w:t>NVLink interconnect for multi-GPU operations</w:t>
      </w:r>
    </w:p>
    <w:p>
      <w:pPr>
        <w:pStyle w:val="ListBullet"/>
      </w:pPr>
      <w:r>
        <w:t>CUDA 12.x for RAPIDS compatibility</w:t>
      </w:r>
    </w:p>
    <w:p>
      <w:pPr>
        <w:pStyle w:val="ListBullet"/>
      </w:pPr>
      <w:r>
        <w:t>Sufficient memory for 500,000+ cell datasets without disk spillover</w:t>
      </w:r>
    </w:p>
    <w:p>
      <w:pPr>
        <w:pStyle w:val="Heading1"/>
      </w:pPr>
      <w:r>
        <w:t>4. System Architecture</w:t>
      </w:r>
    </w:p>
    <w:p>
      <w:pPr>
        <w:pStyle w:val="Heading2"/>
      </w:pPr>
      <w:r>
        <w:t>4.1 Design Principles</w:t>
      </w:r>
    </w:p>
    <w:p>
      <w:r>
        <w:t xml:space="preserve">1. </w:t>
      </w:r>
      <w:r>
        <w:rPr>
          <w:b/>
        </w:rPr>
        <w:t>Evidence-grounded responses:</w:t>
      </w:r>
      <w:r>
        <w:t xml:space="preserve"> Every recommendation is traceable to specific vector search results with citation scores</w:t>
      </w:r>
    </w:p>
    <w:p>
      <w:r>
        <w:t xml:space="preserve">2. </w:t>
      </w:r>
      <w:r>
        <w:rPr>
          <w:b/>
        </w:rPr>
        <w:t>Deterministic clinical logic:</w:t>
      </w:r>
      <w:r>
        <w:t xml:space="preserve"> Treatment recommendations come from rule-based decision engines, not LLM stochasticity</w:t>
      </w:r>
    </w:p>
    <w:p>
      <w:r>
        <w:t xml:space="preserve">3. </w:t>
      </w:r>
      <w:r>
        <w:rPr>
          <w:b/>
        </w:rPr>
        <w:t>Graceful degradation:</w:t>
      </w:r>
      <w:r>
        <w:t xml:space="preserve"> Component failures reduce capability but never crash the system</w:t>
      </w:r>
    </w:p>
    <w:p>
      <w:r>
        <w:t xml:space="preserve">4. </w:t>
      </w:r>
      <w:r>
        <w:rPr>
          <w:b/>
        </w:rPr>
        <w:t>Workflow-optimized search:</w:t>
      </w:r>
      <w:r>
        <w:t xml:space="preserve"> Each of 11 workflow types has a custom weight profile across 12 collections</w:t>
      </w:r>
    </w:p>
    <w:p>
      <w:r>
        <w:t xml:space="preserve">5. </w:t>
      </w:r>
      <w:r>
        <w:rPr>
          <w:b/>
        </w:rPr>
        <w:t>Cell Ontology standardization:</w:t>
      </w:r>
      <w:r>
        <w:t xml:space="preserve"> All cell type references map to CL identifiers for interoperability</w:t>
      </w:r>
    </w:p>
    <w:p>
      <w:pPr>
        <w:pStyle w:val="Heading2"/>
      </w:pPr>
      <w:r>
        <w:t>4.2 Retrieval-Augmented Generation</w:t>
      </w:r>
    </w:p>
    <w:p>
      <w:r>
        <w:t>The agent uses a multi-collection RAG architecture with 12 domain-specific Milvus vector collections:</w:t>
      </w:r>
    </w:p>
    <w:p>
      <w:r>
        <w:t>| Collection | Purpose | Est. Records |</w:t>
      </w:r>
    </w:p>
    <w:p>
      <w:r>
        <w:t>|-----------|---------|-------------|</w:t>
      </w:r>
    </w:p>
    <w:p>
      <w:r>
        <w:t>| sc_cell_types | Cell annotations with CL ontology | 5,000 |</w:t>
      </w:r>
    </w:p>
    <w:p>
      <w:r>
        <w:t>| sc_markers | Gene markers with specificity scores | 50,000 |</w:t>
      </w:r>
    </w:p>
    <w:p>
      <w:r>
        <w:t>| sc_spatial | Spatial transcriptomics niches | 10,000 |</w:t>
      </w:r>
    </w:p>
    <w:p>
      <w:r>
        <w:t>| sc_tme | TME profiles with therapy prediction | 8,000 |</w:t>
      </w:r>
    </w:p>
    <w:p>
      <w:r>
        <w:t>| sc_drug_response | Drug sensitivity from scRNA-seq | 25,000 |</w:t>
      </w:r>
    </w:p>
    <w:p>
      <w:r>
        <w:t>| sc_literature | Published scRNA-seq papers | 50,000 |</w:t>
      </w:r>
    </w:p>
    <w:p>
      <w:r>
        <w:t>| sc_methods | Computational tools and methods | 2,000 |</w:t>
      </w:r>
    </w:p>
    <w:p>
      <w:r>
        <w:t>| sc_datasets | Reference atlases (HCA, CellxGene) | 15,000 |</w:t>
      </w:r>
    </w:p>
    <w:p>
      <w:r>
        <w:t>| sc_trajectories | Pseudotime and differentiation | 8,000 |</w:t>
      </w:r>
    </w:p>
    <w:p>
      <w:r>
        <w:t>| sc_pathways | Signaling and metabolic pathways | 20,000 |</w:t>
      </w:r>
    </w:p>
    <w:p>
      <w:r>
        <w:t>| sc_clinical | Clinical biomarker correlations | 12,000 |</w:t>
      </w:r>
    </w:p>
    <w:p>
      <w:r>
        <w:t>| genomic_evidence | Shared variants (ClinVar, AlphaMissense) | 3,560,000 |</w:t>
      </w:r>
    </w:p>
    <w:p>
      <w:pPr>
        <w:pStyle w:val="Heading2"/>
      </w:pPr>
      <w:r>
        <w:t>4.3 Clinical Decision Support Engines</w:t>
      </w:r>
    </w:p>
    <w:p>
      <w:r>
        <w:t>Four deterministic engines provide reproducible clinical assessments:</w:t>
      </w:r>
    </w:p>
    <w:p>
      <w:r>
        <w:t xml:space="preserve">1. </w:t>
      </w:r>
      <w:r>
        <w:rPr>
          <w:b/>
        </w:rPr>
        <w:t>TME Classifier:</w:t>
      </w:r>
      <w:r>
        <w:t xml:space="preserve"> Classifies tumors into four immunophenotypes (hot-inflamed, cold-desert, excluded, immunosuppressive) using cell type proportions, checkpoint expression, and spatial context. Generates treatment recommendations per class.</w:t>
      </w:r>
    </w:p>
    <w:p>
      <w:r>
        <w:t xml:space="preserve">2. </w:t>
      </w:r>
      <w:r>
        <w:rPr>
          <w:b/>
        </w:rPr>
        <w:t>Subclonal Risk Scorer:</w:t>
      </w:r>
      <w:r>
        <w:t xml:space="preserve"> Evaluates antigen-negative clone frequency, proliferation index, and resistance gene burden to predict therapy escape risk with timeline estimation using exponential growth modeling.</w:t>
      </w:r>
    </w:p>
    <w:p>
      <w:r>
        <w:t xml:space="preserve">3. </w:t>
      </w:r>
      <w:r>
        <w:rPr>
          <w:b/>
        </w:rPr>
        <w:t>Target Expression Validator:</w:t>
      </w:r>
      <w:r>
        <w:t xml:space="preserve"> Evaluates CAR-T and ADC targets by comparing on-tumor expression to off-tumor vital organ expression (8 vital organs), computing therapeutic index, and issuing safety verdicts (FAVORABLE, CONDITIONAL, UNFAVORABLE).</w:t>
      </w:r>
    </w:p>
    <w:p>
      <w:r>
        <w:t xml:space="preserve">4. </w:t>
      </w:r>
      <w:r>
        <w:rPr>
          <w:b/>
        </w:rPr>
        <w:t>Cellular Deconvolution Engine:</w:t>
      </w:r>
      <w:r>
        <w:t xml:space="preserve"> Estimates cell type proportions from bulk RNA-seq using a reference signature matrix of 10 cell types with 8 marker genes each, enabling TME assessment even when single-cell data is unavailable.</w:t>
      </w:r>
    </w:p>
    <w:p>
      <w:pPr>
        <w:pStyle w:val="Heading1"/>
      </w:pPr>
      <w:r>
        <w:t>5. Clinical Applications</w:t>
      </w:r>
    </w:p>
    <w:p>
      <w:pPr>
        <w:pStyle w:val="Heading2"/>
      </w:pPr>
      <w:r>
        <w:t>5.1 Immunotherapy Patient Selection</w:t>
      </w:r>
    </w:p>
    <w:p>
      <w:r/>
      <w:r>
        <w:rPr>
          <w:b/>
        </w:rPr>
        <w:t>Problem:</w:t>
      </w:r>
      <w:r>
        <w:t xml:space="preserve"> PD-L1 TPS alone has 30-40% accuracy for immunotherapy response prediction.</w:t>
      </w:r>
    </w:p>
    <w:p>
      <w:r/>
      <w:r>
        <w:rPr>
          <w:b/>
        </w:rPr>
        <w:t>Solution:</w:t>
      </w:r>
      <w:r>
        <w:t xml:space="preserve"> The TME Classifier integrates cell type composition, checkpoint gene expression, suppressive cell fraction, and spatial context to classify the microenvironment and generate evidence-based treatment recommendations:</w:t>
      </w:r>
    </w:p>
    <w:p>
      <w:pPr>
        <w:pStyle w:val="ListBullet"/>
      </w:pPr>
      <w:r>
        <w:t>Hot-inflamed: strong checkpoint inhibitor candidate</w:t>
      </w:r>
    </w:p>
    <w:p>
      <w:pPr>
        <w:pStyle w:val="ListBullet"/>
      </w:pPr>
      <w:r>
        <w:t>Cold-desert: consider priming strategies (oncolytic virus, STING agonist)</w:t>
      </w:r>
    </w:p>
    <w:p>
      <w:pPr>
        <w:pStyle w:val="ListBullet"/>
      </w:pPr>
      <w:r>
        <w:t>Excluded: target stromal barrier (anti-TGFb, anti-VEGF)</w:t>
      </w:r>
    </w:p>
    <w:p>
      <w:pPr>
        <w:pStyle w:val="ListBullet"/>
      </w:pPr>
      <w:r>
        <w:t>Immunosuppressive: dual checkpoint blockade, Treg depletion</w:t>
      </w:r>
    </w:p>
    <w:p>
      <w:pPr>
        <w:pStyle w:val="Heading2"/>
      </w:pPr>
      <w:r>
        <w:t>5.2 CAR-T Therapy Safety Assessment</w:t>
      </w:r>
    </w:p>
    <w:p>
      <w:r/>
      <w:r>
        <w:rPr>
          <w:b/>
        </w:rPr>
        <w:t>Problem:</w:t>
      </w:r>
      <w:r>
        <w:t xml:space="preserve"> On-target off-tumor toxicity is the primary safety concern for cell therapy. Bulk expression data cannot distinguish low-level ubiquitous expression from high-level tumor-specific expression.</w:t>
      </w:r>
    </w:p>
    <w:p>
      <w:r/>
      <w:r>
        <w:rPr>
          <w:b/>
        </w:rPr>
        <w:t>Solution:</w:t>
      </w:r>
      <w:r>
        <w:t xml:space="preserve"> The Target Expression Validator profiles target antigen expression at single-cell resolution across:</w:t>
      </w:r>
    </w:p>
    <w:p>
      <w:pPr>
        <w:pStyle w:val="ListBullet"/>
      </w:pPr>
      <w:r>
        <w:t>Tumor cells (on-tumor coverage percentage)</w:t>
      </w:r>
    </w:p>
    <w:p>
      <w:pPr>
        <w:pStyle w:val="ListBullet"/>
      </w:pPr>
      <w:r>
        <w:t>8 vital organs (off-tumor safety check)</w:t>
      </w:r>
    </w:p>
    <w:p>
      <w:pPr>
        <w:pStyle w:val="ListBullet"/>
      </w:pPr>
      <w:r>
        <w:t>Therapeutic index computation</w:t>
      </w:r>
    </w:p>
    <w:p>
      <w:pPr>
        <w:pStyle w:val="ListBullet"/>
      </w:pPr>
      <w:r>
        <w:t>Co-expression partner identification for dual-targeting strategies</w:t>
      </w:r>
    </w:p>
    <w:p>
      <w:pPr>
        <w:pStyle w:val="Heading2"/>
      </w:pPr>
      <w:r>
        <w:t>5.3 Resistance Monitoring</w:t>
      </w:r>
    </w:p>
    <w:p>
      <w:r/>
      <w:r>
        <w:rPr>
          <w:b/>
        </w:rPr>
        <w:t>Problem:</w:t>
      </w:r>
      <w:r>
        <w:t xml:space="preserve"> Antigen-negative escape variants can emerge within weeks of CAR-T infusion.</w:t>
      </w:r>
    </w:p>
    <w:p>
      <w:r/>
      <w:r>
        <w:rPr>
          <w:b/>
        </w:rPr>
        <w:t>Solution:</w:t>
      </w:r>
      <w:r>
        <w:t xml:space="preserve"> The Subclonal Risk Scorer tracks clone frequency dynamics, identifies expanding antigen-negative populations, and estimates time to resistance dominance using exponential growth modeling, enabling pre-emptive intervention.</w:t>
      </w:r>
    </w:p>
    <w:p>
      <w:pPr>
        <w:pStyle w:val="Heading2"/>
      </w:pPr>
      <w:r>
        <w:t>5.4 Spatial Biology for Tissue Architecture</w:t>
      </w:r>
    </w:p>
    <w:p>
      <w:r/>
      <w:r>
        <w:rPr>
          <w:b/>
        </w:rPr>
        <w:t>Problem:</w:t>
      </w:r>
      <w:r>
        <w:t xml:space="preserve"> Dissociated single-cell data loses spatial context critical for understanding immune cell positioning relative to tumor cells.</w:t>
      </w:r>
    </w:p>
    <w:p>
      <w:r/>
      <w:r>
        <w:rPr>
          <w:b/>
        </w:rPr>
        <w:t>Solution:</w:t>
      </w:r>
      <w:r>
        <w:t xml:space="preserve"> Spatial niche analysis identifies tissue architecture patterns (tumor-immune interface, tertiary lymphoid structures, fibrotic barriers) and correlates them with clinical outcomes across Visium, MERFISH, Xenium, and CODEX platforms.</w:t>
      </w:r>
    </w:p>
    <w:p>
      <w:pPr>
        <w:pStyle w:val="Heading1"/>
      </w:pPr>
      <w:r>
        <w:t>6. Foundation Models and Future Directions</w:t>
      </w:r>
    </w:p>
    <w:p>
      <w:pPr>
        <w:pStyle w:val="Heading2"/>
      </w:pPr>
      <w:r>
        <w:t>6.1 Single-Cell Foundation Models</w:t>
      </w:r>
    </w:p>
    <w:p>
      <w:r>
        <w:t>Three foundation models are poised to transform single-cell analysis:</w:t>
      </w:r>
    </w:p>
    <w:p>
      <w:r>
        <w:t>| Model | Pre-training Data | Key Capability |</w:t>
      </w:r>
    </w:p>
    <w:p>
      <w:r>
        <w:t>|-------|------------------|---------------|</w:t>
      </w:r>
    </w:p>
    <w:p>
      <w:r>
        <w:t>| scGPT | 33M cells from CellxGene | Gene expression prediction, cell type annotation, perturbation response |</w:t>
      </w:r>
    </w:p>
    <w:p>
      <w:r>
        <w:t>| Geneformer | 30M cells from public data | Attention-based gene embeddings, context-aware gene function |</w:t>
      </w:r>
    </w:p>
    <w:p>
      <w:r>
        <w:t>| scFoundation | 50M+ cells | Large-scale cell representation learning |</w:t>
      </w:r>
    </w:p>
    <w:p>
      <w:r>
        <w:t>These models can serve as embedding backbones for improved cell type annotation and drug response prediction.</w:t>
      </w:r>
    </w:p>
    <w:p>
      <w:pPr>
        <w:pStyle w:val="Heading2"/>
      </w:pPr>
      <w:r>
        <w:t>6.2 Multi-Modal Integration</w:t>
      </w:r>
    </w:p>
    <w:p>
      <w:r>
        <w:t>Future versions will integrate:</w:t>
      </w:r>
    </w:p>
    <w:p>
      <w:pPr>
        <w:pStyle w:val="ListBullet"/>
      </w:pPr>
      <w:r>
        <w:t>scATAC-seq for epigenetic layer analysis</w:t>
      </w:r>
    </w:p>
    <w:p>
      <w:pPr>
        <w:pStyle w:val="ListBullet"/>
      </w:pPr>
      <w:r>
        <w:t>CITE-seq for surface protein quantification</w:t>
      </w:r>
    </w:p>
    <w:p>
      <w:pPr>
        <w:pStyle w:val="ListBullet"/>
      </w:pPr>
      <w:r>
        <w:t>TCR/BCR sequencing for clonotype tracking</w:t>
      </w:r>
    </w:p>
    <w:p>
      <w:pPr>
        <w:pStyle w:val="ListBullet"/>
      </w:pPr>
      <w:r>
        <w:t>Metabolomics for tumor metabolism profiling</w:t>
      </w:r>
    </w:p>
    <w:p>
      <w:pPr>
        <w:pStyle w:val="Heading2"/>
      </w:pPr>
      <w:r>
        <w:t>6.3 Real-Time Spatial Analysis</w:t>
      </w:r>
    </w:p>
    <w:p>
      <w:r>
        <w:t>Integration with the NVIDIA Clara platform will enable real-time spatial transcriptomics analysis during pathology review, providing spatial niche classification overlaid on H&amp;E histology images.</w:t>
      </w:r>
    </w:p>
    <w:p>
      <w:pPr>
        <w:pStyle w:val="Heading1"/>
      </w:pPr>
      <w:r>
        <w:t>7. Conclusion</w:t>
      </w:r>
    </w:p>
    <w:p>
      <w:r>
        <w:t>The Single-Cell Intelligence Agent addresses the critical gap between single-cell data generation capacity and clinical interpretation capability. By combining vector-based evidence retrieval across 12 domain-specific collections, deterministic clinical decision engines, and LLM-powered synthesis, the system delivers cell-level treatment intelligence within clinical turnaround timelines. The GPU-accelerated architecture on NVIDIA DGX Spark ensures scalability to datasets of 500,000+ cells, while the modular design enables continuous integration of new data sources, foundation models, and analytical methods.</w:t>
      </w:r>
    </w:p>
    <w:p>
      <w:r>
        <w:t>The resolution gap in precision medicine is not a data problem -- it is an interpretation problem. This agent closes that gap.</w:t>
      </w:r>
    </w:p>
    <w:p>
      <w:pPr>
        <w:pStyle w:val="Heading1"/>
      </w:pPr>
      <w:r>
        <w:t>References</w:t>
      </w:r>
    </w:p>
    <w:p>
      <w:r>
        <w:t>1. Regev A, et al. "The Human Cell Atlas." eLife. 2017;6:e27041.</w:t>
      </w:r>
    </w:p>
    <w:p>
      <w:r>
        <w:t>2. Zheng GXY, et al. "Massively parallel digital transcriptional profiling of single cells." Nature Communications. 2017;8:14049.</w:t>
      </w:r>
    </w:p>
    <w:p>
      <w:r>
        <w:t>3. Stuart T, et al. "Comprehensive Integration of Single-Cell Data." Cell. 2019;177(7):1888-1902.</w:t>
      </w:r>
    </w:p>
    <w:p>
      <w:r>
        <w:t>4. Wolf FA, Angerer P, Theis FJ. "SCANPY: large-scale single-cell gene expression data analysis." Genome Biology. 2018;19:15.</w:t>
      </w:r>
    </w:p>
    <w:p>
      <w:r>
        <w:t>5. Binnewies M, et al. "Understanding the tumor immune microenvironment (TIME) for effective therapy." Nature Medicine. 2018;24:541-550.</w:t>
      </w:r>
    </w:p>
    <w:p>
      <w:r>
        <w:t>6. June CH, et al. "CAR T cell immunotherapy for human cancer." Science. 2018;359(6382):1361-1365.</w:t>
      </w:r>
    </w:p>
    <w:p>
      <w:r>
        <w:t>7. Cui H, et al. "scGPT: toward building a foundation model for single-cell multi-omics using generative AI." Nature Methods. 2024;21:1470-1480.</w:t>
      </w:r>
    </w:p>
    <w:p>
      <w:r>
        <w:t>8. Theodoris CV, et al. "Transfer learning enables predictions in network biology." Nature. 2023;618:616-624.</w:t>
      </w:r>
    </w:p>
    <w:p>
      <w:r>
        <w:t>9. Newman AM, et al. "Determining cell type abundance and expression from bulk tissues with digital cytometry." Nature Biotechnology. 2019;37:773-782.</w:t>
      </w:r>
    </w:p>
    <w:p>
      <w:r>
        <w:t>10. Efremova M, et al. "CellPhoneDB: inferring cell-cell communication from combined expression of multi-subunit ligand-receptor complexes." Nature Protocols. 2020;15:1484-1506.</w:t>
      </w:r>
    </w:p>
    <w:p>
      <w:r>
        <w:t>*HCLS AI Factory -- Single-Cell Intelligence Agent White Paper v1.0.0*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