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333"/>
        </w:rPr>
        <w:t>Neurology Intelligence Agent -- Architecture Guide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pPr>
        <w:pStyle w:val="Heading1"/>
      </w:pPr>
      <w:r>
        <w:rPr>
          <w:color w:val="1B2333"/>
        </w:rPr>
        <w:t>1. System Architecture</w:t>
      </w:r>
    </w:p>
    <w:p>
      <w:r>
        <w:t>The Neurology Intelligence Agent follows a layered architecture with clear separation between presentation, intelligence, and data layers.</w:t>
      </w:r>
    </w:p>
    <w:p>
      <w:r>
        <w:rPr>
          <w:rFonts w:ascii="Courier New" w:hAnsi="Courier New"/>
          <w:sz w:val="16"/>
        </w:rPr>
        <w:t>+================================================================+</w:t>
      </w:r>
    </w:p>
    <w:p>
      <w:r>
        <w:rPr>
          <w:rFonts w:ascii="Courier New" w:hAnsi="Courier New"/>
          <w:sz w:val="16"/>
        </w:rPr>
        <w:t>|                     PRESENTATION LAYER                          |</w:t>
      </w:r>
    </w:p>
    <w:p>
      <w:r>
        <w:rPr>
          <w:rFonts w:ascii="Courier New" w:hAnsi="Courier New"/>
          <w:sz w:val="16"/>
        </w:rPr>
        <w:t>|  +---------------------+   +-----------------------------+     |</w:t>
      </w:r>
    </w:p>
    <w:p>
      <w:r>
        <w:rPr>
          <w:rFonts w:ascii="Courier New" w:hAnsi="Courier New"/>
          <w:sz w:val="16"/>
        </w:rPr>
        <w:t>|  | Streamlit Chat UI   |   | FastAPI REST API             |     |</w:t>
      </w:r>
    </w:p>
    <w:p>
      <w:r>
        <w:rPr>
          <w:rFonts w:ascii="Courier New" w:hAnsi="Courier New"/>
          <w:sz w:val="16"/>
        </w:rPr>
        <w:t>|  | Port 8529           |   | Port 8528                    |     |</w:t>
      </w:r>
    </w:p>
    <w:p>
      <w:r>
        <w:rPr>
          <w:rFonts w:ascii="Courier New" w:hAnsi="Courier New"/>
          <w:sz w:val="16"/>
        </w:rPr>
        <w:t>|  | Interactive Q&amp;A     |   | Versioned endpoints (v1)     |     |</w:t>
      </w:r>
    </w:p>
    <w:p>
      <w:r>
        <w:rPr>
          <w:rFonts w:ascii="Courier New" w:hAnsi="Courier New"/>
          <w:sz w:val="16"/>
        </w:rPr>
        <w:t>|  | Scale calculators   |   | CORS, auth, rate limiting    |     |</w:t>
      </w:r>
    </w:p>
    <w:p>
      <w:r>
        <w:rPr>
          <w:rFonts w:ascii="Courier New" w:hAnsi="Courier New"/>
          <w:sz w:val="16"/>
        </w:rPr>
        <w:t>|  +----------+----------+   +-------------+---------------+     |</w:t>
      </w:r>
    </w:p>
    <w:p>
      <w:r>
        <w:rPr>
          <w:rFonts w:ascii="Courier New" w:hAnsi="Courier New"/>
          <w:sz w:val="16"/>
        </w:rPr>
        <w:t>+================================================================+</w:t>
      </w:r>
    </w:p>
    <w:p>
      <w:r>
        <w:rPr>
          <w:rFonts w:ascii="Courier New" w:hAnsi="Courier New"/>
          <w:sz w:val="16"/>
        </w:rPr>
        <w:t xml:space="preserve">               |                            |</w:t>
      </w:r>
    </w:p>
    <w:p>
      <w:r>
        <w:rPr>
          <w:rFonts w:ascii="Courier New" w:hAnsi="Courier New"/>
          <w:sz w:val="16"/>
        </w:rPr>
        <w:t>+================================================================+</w:t>
      </w:r>
    </w:p>
    <w:p>
      <w:r>
        <w:rPr>
          <w:rFonts w:ascii="Courier New" w:hAnsi="Courier New"/>
          <w:sz w:val="16"/>
        </w:rPr>
        <w:t>|                    INTELLIGENCE LAYER                           |</w:t>
      </w:r>
    </w:p>
    <w:p>
      <w:r>
        <w:rPr>
          <w:rFonts w:ascii="Courier New" w:hAnsi="Courier New"/>
          <w:sz w:val="16"/>
        </w:rPr>
        <w:t>|  +----------------+  +----------------+  +------------------+  |</w:t>
      </w:r>
    </w:p>
    <w:p>
      <w:r>
        <w:rPr>
          <w:rFonts w:ascii="Courier New" w:hAnsi="Courier New"/>
          <w:sz w:val="16"/>
        </w:rPr>
        <w:t>|  | Query Expander |  | Workflow Engine |  | Clinical Scale   |  |</w:t>
      </w:r>
    </w:p>
    <w:p>
      <w:r>
        <w:rPr>
          <w:rFonts w:ascii="Courier New" w:hAnsi="Courier New"/>
          <w:sz w:val="16"/>
        </w:rPr>
        <w:t>|  | 251+ aliases   |  | 8+1 workflows  |  | Calculators      |  |</w:t>
      </w:r>
    </w:p>
    <w:p>
      <w:r>
        <w:rPr>
          <w:rFonts w:ascii="Courier New" w:hAnsi="Courier New"/>
          <w:sz w:val="16"/>
        </w:rPr>
        <w:t>|  | 16 synonym     |  | domain-specific|  | 10 validated     |  |</w:t>
      </w:r>
    </w:p>
    <w:p>
      <w:r>
        <w:rPr>
          <w:rFonts w:ascii="Courier New" w:hAnsi="Courier New"/>
          <w:sz w:val="16"/>
        </w:rPr>
        <w:t>|  | maps           |  | weight boost   |  | instruments      |  |</w:t>
      </w:r>
    </w:p>
    <w:p>
      <w:r>
        <w:rPr>
          <w:rFonts w:ascii="Courier New" w:hAnsi="Courier New"/>
          <w:sz w:val="16"/>
        </w:rPr>
        <w:t>|  +-------+--------+  +-------+--------+  +--------+---------+  |</w:t>
      </w:r>
    </w:p>
    <w:p>
      <w:r>
        <w:rPr>
          <w:rFonts w:ascii="Courier New" w:hAnsi="Courier New"/>
          <w:sz w:val="16"/>
        </w:rPr>
        <w:t>|          |                   |                     |            |</w:t>
      </w:r>
    </w:p>
    <w:p>
      <w:r>
        <w:rPr>
          <w:rFonts w:ascii="Courier New" w:hAnsi="Courier New"/>
          <w:sz w:val="16"/>
        </w:rPr>
        <w:t>|  +-------v-------------------v---------------------v---------+  |</w:t>
      </w:r>
    </w:p>
    <w:p>
      <w:r>
        <w:rPr>
          <w:rFonts w:ascii="Courier New" w:hAnsi="Courier New"/>
          <w:sz w:val="16"/>
        </w:rPr>
        <w:t>|  |              Neurology RAG Engine                         |  |</w:t>
      </w:r>
    </w:p>
    <w:p>
      <w:r>
        <w:rPr>
          <w:rFonts w:ascii="Courier New" w:hAnsi="Courier New"/>
          <w:sz w:val="16"/>
        </w:rPr>
        <w:t>|  | ThreadPoolExecutor parallel search across 14 collections  |  |</w:t>
      </w:r>
    </w:p>
    <w:p>
      <w:r>
        <w:rPr>
          <w:rFonts w:ascii="Courier New" w:hAnsi="Courier New"/>
          <w:sz w:val="16"/>
        </w:rPr>
        <w:t>|  | Workflow-specific collection weight boosting              |  |</w:t>
      </w:r>
    </w:p>
    <w:p>
      <w:r>
        <w:rPr>
          <w:rFonts w:ascii="Courier New" w:hAnsi="Courier New"/>
          <w:sz w:val="16"/>
        </w:rPr>
        <w:t>|  | Citation scoring (high/medium/low)                        |  |</w:t>
      </w:r>
    </w:p>
    <w:p>
      <w:r>
        <w:rPr>
          <w:rFonts w:ascii="Courier New" w:hAnsi="Courier New"/>
          <w:sz w:val="16"/>
        </w:rPr>
        <w:t>|  | Conversation memory (24h TTL)                             |  |</w:t>
      </w:r>
    </w:p>
    <w:p>
      <w:r>
        <w:rPr>
          <w:rFonts w:ascii="Courier New" w:hAnsi="Courier New"/>
          <w:sz w:val="16"/>
        </w:rPr>
        <w:t>|  +---------------------------+-------------------------------+  |</w:t>
      </w:r>
    </w:p>
    <w:p>
      <w:r>
        <w:rPr>
          <w:rFonts w:ascii="Courier New" w:hAnsi="Courier New"/>
          <w:sz w:val="16"/>
        </w:rPr>
        <w:t>|                              |                                  |</w:t>
      </w:r>
    </w:p>
    <w:p>
      <w:r>
        <w:rPr>
          <w:rFonts w:ascii="Courier New" w:hAnsi="Courier New"/>
          <w:sz w:val="16"/>
        </w:rPr>
        <w:t>|  +---------------------------v-------------------------------+  |</w:t>
      </w:r>
    </w:p>
    <w:p>
      <w:r>
        <w:rPr>
          <w:rFonts w:ascii="Courier New" w:hAnsi="Courier New"/>
          <w:sz w:val="16"/>
        </w:rPr>
        <w:t>|  |              Claude LLM (Anthropic)                       |  |</w:t>
      </w:r>
    </w:p>
    <w:p>
      <w:r>
        <w:rPr>
          <w:rFonts w:ascii="Courier New" w:hAnsi="Courier New"/>
          <w:sz w:val="16"/>
        </w:rPr>
        <w:t>|  | Evidence synthesis with clinical system prompt            |  |</w:t>
      </w:r>
    </w:p>
    <w:p>
      <w:r>
        <w:rPr>
          <w:rFonts w:ascii="Courier New" w:hAnsi="Courier New"/>
          <w:sz w:val="16"/>
        </w:rPr>
        <w:t>|  | Guideline-grounded recommendations (AAN/AHA/ILAE/MDS)    |  |</w:t>
      </w:r>
    </w:p>
    <w:p>
      <w:r>
        <w:rPr>
          <w:rFonts w:ascii="Courier New" w:hAnsi="Courier New"/>
          <w:sz w:val="16"/>
        </w:rPr>
        <w:t>|  +-----------------------------------------------------------+  |</w:t>
      </w:r>
    </w:p>
    <w:p>
      <w:r>
        <w:rPr>
          <w:rFonts w:ascii="Courier New" w:hAnsi="Courier New"/>
          <w:sz w:val="16"/>
        </w:rPr>
        <w:t>+================================================================+</w:t>
      </w:r>
    </w:p>
    <w:p>
      <w:r>
        <w:rPr>
          <w:rFonts w:ascii="Courier New" w:hAnsi="Courier New"/>
          <w:sz w:val="16"/>
        </w:rPr>
        <w:t xml:space="preserve">               |</w:t>
      </w:r>
    </w:p>
    <w:p>
      <w:r>
        <w:rPr>
          <w:rFonts w:ascii="Courier New" w:hAnsi="Courier New"/>
          <w:sz w:val="16"/>
        </w:rPr>
        <w:t>+================================================================+</w:t>
      </w:r>
    </w:p>
    <w:p>
      <w:r>
        <w:rPr>
          <w:rFonts w:ascii="Courier New" w:hAnsi="Courier New"/>
          <w:sz w:val="16"/>
        </w:rPr>
        <w:t>|                        DATA LAYER                              |</w:t>
      </w:r>
    </w:p>
    <w:p>
      <w:r>
        <w:rPr>
          <w:rFonts w:ascii="Courier New" w:hAnsi="Courier New"/>
          <w:sz w:val="16"/>
        </w:rPr>
        <w:t>|  +-----------------------------------------------------------+  |</w:t>
      </w:r>
    </w:p>
    <w:p>
      <w:r>
        <w:rPr>
          <w:rFonts w:ascii="Courier New" w:hAnsi="Courier New"/>
          <w:sz w:val="16"/>
        </w:rPr>
        <w:t>|  |              Milvus 2.4 Vector Database                   |  |</w:t>
      </w:r>
    </w:p>
    <w:p>
      <w:r>
        <w:rPr>
          <w:rFonts w:ascii="Courier New" w:hAnsi="Courier New"/>
          <w:sz w:val="16"/>
        </w:rPr>
        <w:t>|  |  14 collections | BGE-small 384-dim | IVF_FLAT/COSINE    |  |</w:t>
      </w:r>
    </w:p>
    <w:p>
      <w:r>
        <w:rPr>
          <w:rFonts w:ascii="Courier New" w:hAnsi="Courier New"/>
          <w:sz w:val="16"/>
        </w:rPr>
        <w:t>|  |  855K estimated records | etcd + MinIO backend            |  |</w:t>
      </w:r>
    </w:p>
    <w:p>
      <w:r>
        <w:rPr>
          <w:rFonts w:ascii="Courier New" w:hAnsi="Courier New"/>
          <w:sz w:val="16"/>
        </w:rPr>
        <w:t>|  +-----------------------------------------------------------+  |</w:t>
      </w:r>
    </w:p>
    <w:p>
      <w:r>
        <w:rPr>
          <w:rFonts w:ascii="Courier New" w:hAnsi="Courier New"/>
          <w:sz w:val="16"/>
        </w:rPr>
        <w:t>+================================================================+</w:t>
      </w:r>
    </w:p>
    <w:p>
      <w:pPr>
        <w:pStyle w:val="Heading1"/>
      </w:pPr>
      <w:r>
        <w:rPr>
          <w:color w:val="1B2333"/>
        </w:rPr>
        <w:t>2. Clinical Scale Calculator Architecture</w:t>
      </w:r>
    </w:p>
    <w:p>
      <w:r>
        <w:t>Each of the 10 clinical scale calculators follows a consistent design pattern:</w:t>
      </w:r>
    </w:p>
    <w:p>
      <w:r>
        <w:rPr>
          <w:rFonts w:ascii="Courier New" w:hAnsi="Courier New"/>
          <w:sz w:val="16"/>
        </w:rPr>
        <w:t>Input (Dict/scalar)</w:t>
      </w:r>
    </w:p>
    <w:p>
      <w:r>
        <w:rPr>
          <w:rFonts w:ascii="Courier New" w:hAnsi="Courier New"/>
          <w:sz w:val="16"/>
        </w:rPr>
        <w:t xml:space="preserve">        |</w:t>
      </w:r>
    </w:p>
    <w:p>
      <w:r>
        <w:rPr>
          <w:rFonts w:ascii="Courier New" w:hAnsi="Courier New"/>
          <w:sz w:val="16"/>
        </w:rPr>
        <w:t xml:space="preserve">        v</w:t>
      </w:r>
    </w:p>
    <w:p>
      <w:r>
        <w:rPr>
          <w:rFonts w:ascii="Courier New" w:hAnsi="Courier New"/>
          <w:sz w:val="16"/>
        </w:rPr>
        <w:t xml:space="preserve">  +------------------+</w:t>
      </w:r>
    </w:p>
    <w:p>
      <w:r>
        <w:rPr>
          <w:rFonts w:ascii="Courier New" w:hAnsi="Courier New"/>
          <w:sz w:val="16"/>
        </w:rPr>
        <w:t xml:space="preserve">  | Input Validation  |  Clamp values to valid ranges</w:t>
      </w:r>
    </w:p>
    <w:p>
      <w:r>
        <w:rPr>
          <w:rFonts w:ascii="Courier New" w:hAnsi="Courier New"/>
          <w:sz w:val="16"/>
        </w:rPr>
        <w:t xml:space="preserve">  +--------+---------+</w:t>
      </w:r>
    </w:p>
    <w:p>
      <w:r>
        <w:rPr>
          <w:rFonts w:ascii="Courier New" w:hAnsi="Courier New"/>
          <w:sz w:val="16"/>
        </w:rPr>
        <w:t xml:space="preserve">           |</w:t>
      </w:r>
    </w:p>
    <w:p>
      <w:r>
        <w:rPr>
          <w:rFonts w:ascii="Courier New" w:hAnsi="Courier New"/>
          <w:sz w:val="16"/>
        </w:rPr>
        <w:t xml:space="preserve">           v</w:t>
      </w:r>
    </w:p>
    <w:p>
      <w:r>
        <w:rPr>
          <w:rFonts w:ascii="Courier New" w:hAnsi="Courier New"/>
          <w:sz w:val="16"/>
        </w:rPr>
        <w:t xml:space="preserve">  +--------+---------+</w:t>
      </w:r>
    </w:p>
    <w:p>
      <w:r>
        <w:rPr>
          <w:rFonts w:ascii="Courier New" w:hAnsi="Courier New"/>
          <w:sz w:val="16"/>
        </w:rPr>
        <w:t xml:space="preserve">  | Score Computation |  Sum items, apply weights/rules</w:t>
      </w:r>
    </w:p>
    <w:p>
      <w:r>
        <w:rPr>
          <w:rFonts w:ascii="Courier New" w:hAnsi="Courier New"/>
          <w:sz w:val="16"/>
        </w:rPr>
        <w:t xml:space="preserve">  +--------+---------+</w:t>
      </w:r>
    </w:p>
    <w:p>
      <w:r>
        <w:rPr>
          <w:rFonts w:ascii="Courier New" w:hAnsi="Courier New"/>
          <w:sz w:val="16"/>
        </w:rPr>
        <w:t xml:space="preserve">           |</w:t>
      </w:r>
    </w:p>
    <w:p>
      <w:r>
        <w:rPr>
          <w:rFonts w:ascii="Courier New" w:hAnsi="Courier New"/>
          <w:sz w:val="16"/>
        </w:rPr>
        <w:t xml:space="preserve">           v</w:t>
      </w:r>
    </w:p>
    <w:p>
      <w:r>
        <w:rPr>
          <w:rFonts w:ascii="Courier New" w:hAnsi="Courier New"/>
          <w:sz w:val="16"/>
        </w:rPr>
        <w:t xml:space="preserve">  +--------+---------+</w:t>
      </w:r>
    </w:p>
    <w:p>
      <w:r>
        <w:rPr>
          <w:rFonts w:ascii="Courier New" w:hAnsi="Courier New"/>
          <w:sz w:val="16"/>
        </w:rPr>
        <w:t xml:space="preserve">  | Threshold Eval    |  Compare against clinical cutoffs</w:t>
      </w:r>
    </w:p>
    <w:p>
      <w:r>
        <w:rPr>
          <w:rFonts w:ascii="Courier New" w:hAnsi="Courier New"/>
          <w:sz w:val="16"/>
        </w:rPr>
        <w:t xml:space="preserve">  +--------+---------+</w:t>
      </w:r>
    </w:p>
    <w:p>
      <w:r>
        <w:rPr>
          <w:rFonts w:ascii="Courier New" w:hAnsi="Courier New"/>
          <w:sz w:val="16"/>
        </w:rPr>
        <w:t xml:space="preserve">           |</w:t>
      </w:r>
    </w:p>
    <w:p>
      <w:r>
        <w:rPr>
          <w:rFonts w:ascii="Courier New" w:hAnsi="Courier New"/>
          <w:sz w:val="16"/>
        </w:rPr>
        <w:t xml:space="preserve">           v</w:t>
      </w:r>
    </w:p>
    <w:p>
      <w:r>
        <w:rPr>
          <w:rFonts w:ascii="Courier New" w:hAnsi="Courier New"/>
          <w:sz w:val="16"/>
        </w:rPr>
        <w:t xml:space="preserve">  +--------+---------+</w:t>
      </w:r>
    </w:p>
    <w:p>
      <w:r>
        <w:rPr>
          <w:rFonts w:ascii="Courier New" w:hAnsi="Courier New"/>
          <w:sz w:val="16"/>
        </w:rPr>
        <w:t xml:space="preserve">  | Interpretation    |  Category, severity, free-text</w:t>
      </w:r>
    </w:p>
    <w:p>
      <w:r>
        <w:rPr>
          <w:rFonts w:ascii="Courier New" w:hAnsi="Courier New"/>
          <w:sz w:val="16"/>
        </w:rPr>
        <w:t xml:space="preserve">  +--------+---------+</w:t>
      </w:r>
    </w:p>
    <w:p>
      <w:r>
        <w:rPr>
          <w:rFonts w:ascii="Courier New" w:hAnsi="Courier New"/>
          <w:sz w:val="16"/>
        </w:rPr>
        <w:t xml:space="preserve">           |</w:t>
      </w:r>
    </w:p>
    <w:p>
      <w:r>
        <w:rPr>
          <w:rFonts w:ascii="Courier New" w:hAnsi="Courier New"/>
          <w:sz w:val="16"/>
        </w:rPr>
        <w:t xml:space="preserve">           v</w:t>
      </w:r>
    </w:p>
    <w:p>
      <w:r>
        <w:rPr>
          <w:rFonts w:ascii="Courier New" w:hAnsi="Courier New"/>
          <w:sz w:val="16"/>
        </w:rPr>
        <w:t xml:space="preserve">  +--------+---------+</w:t>
      </w:r>
    </w:p>
    <w:p>
      <w:r>
        <w:rPr>
          <w:rFonts w:ascii="Courier New" w:hAnsi="Courier New"/>
          <w:sz w:val="16"/>
        </w:rPr>
        <w:t xml:space="preserve">  | Recommendations   |  Evidence-based action items</w:t>
      </w:r>
    </w:p>
    <w:p>
      <w:r>
        <w:rPr>
          <w:rFonts w:ascii="Courier New" w:hAnsi="Courier New"/>
          <w:sz w:val="16"/>
        </w:rPr>
        <w:t xml:space="preserve">  +--------+---------+</w:t>
      </w:r>
    </w:p>
    <w:p>
      <w:r>
        <w:rPr>
          <w:rFonts w:ascii="Courier New" w:hAnsi="Courier New"/>
          <w:sz w:val="16"/>
        </w:rPr>
        <w:t xml:space="preserve">           |</w:t>
      </w:r>
    </w:p>
    <w:p>
      <w:r>
        <w:rPr>
          <w:rFonts w:ascii="Courier New" w:hAnsi="Courier New"/>
          <w:sz w:val="16"/>
        </w:rPr>
        <w:t xml:space="preserve">           v</w:t>
      </w:r>
    </w:p>
    <w:p>
      <w:r>
        <w:rPr>
          <w:rFonts w:ascii="Courier New" w:hAnsi="Courier New"/>
          <w:sz w:val="16"/>
        </w:rPr>
        <w:t xml:space="preserve">  ScaleResult(</w:t>
      </w:r>
    </w:p>
    <w:p>
      <w:r>
        <w:rPr>
          <w:rFonts w:ascii="Courier New" w:hAnsi="Courier New"/>
          <w:sz w:val="16"/>
        </w:rPr>
        <w:t xml:space="preserve">      scale_type,</w:t>
      </w:r>
    </w:p>
    <w:p>
      <w:r>
        <w:rPr>
          <w:rFonts w:ascii="Courier New" w:hAnsi="Courier New"/>
          <w:sz w:val="16"/>
        </w:rPr>
        <w:t xml:space="preserve">      score,</w:t>
      </w:r>
    </w:p>
    <w:p>
      <w:r>
        <w:rPr>
          <w:rFonts w:ascii="Courier New" w:hAnsi="Courier New"/>
          <w:sz w:val="16"/>
        </w:rPr>
        <w:t xml:space="preserve">      max_score,</w:t>
      </w:r>
    </w:p>
    <w:p>
      <w:r>
        <w:rPr>
          <w:rFonts w:ascii="Courier New" w:hAnsi="Courier New"/>
          <w:sz w:val="16"/>
        </w:rPr>
        <w:t xml:space="preserve">      interpretation,</w:t>
      </w:r>
    </w:p>
    <w:p>
      <w:r>
        <w:rPr>
          <w:rFonts w:ascii="Courier New" w:hAnsi="Courier New"/>
          <w:sz w:val="16"/>
        </w:rPr>
        <w:t xml:space="preserve">      severity_category,</w:t>
      </w:r>
    </w:p>
    <w:p>
      <w:r>
        <w:rPr>
          <w:rFonts w:ascii="Courier New" w:hAnsi="Courier New"/>
          <w:sz w:val="16"/>
        </w:rPr>
        <w:t xml:space="preserve">      thresholds,</w:t>
      </w:r>
    </w:p>
    <w:p>
      <w:r>
        <w:rPr>
          <w:rFonts w:ascii="Courier New" w:hAnsi="Courier New"/>
          <w:sz w:val="16"/>
        </w:rPr>
        <w:t xml:space="preserve">      recommendations</w:t>
      </w:r>
    </w:p>
    <w:p>
      <w:r>
        <w:rPr>
          <w:rFonts w:ascii="Courier New" w:hAnsi="Courier New"/>
          <w:sz w:val="16"/>
        </w:rPr>
        <w:t xml:space="preserve">  )</w:t>
      </w:r>
    </w:p>
    <w:p>
      <w:pPr>
        <w:pStyle w:val="Heading2"/>
      </w:pPr>
      <w:r>
        <w:rPr>
          <w:color w:val="1AAFCC"/>
        </w:rPr>
        <w:t>Scale Calculator Specifications</w:t>
      </w:r>
    </w:p>
    <w:p>
      <w:r>
        <w:rPr>
          <w:sz w:val="18"/>
        </w:rPr>
        <w:t>| Calculator | Input Type | Score Range | Key Decision Points |</w:t>
      </w:r>
    </w:p>
    <w:p>
      <w:r>
        <w:rPr>
          <w:sz w:val="18"/>
        </w:rPr>
        <w:t>|---|---|---|---|</w:t>
      </w:r>
    </w:p>
    <w:p>
      <w:r>
        <w:rPr>
          <w:sz w:val="18"/>
        </w:rPr>
        <w:t>| `NIHSSCalculator` | Dict[str, int] (15 items) | 0-42 | &gt;=1 tPA, &gt;=6 CTA/thrombectomy, &gt;25 ICU |</w:t>
      </w:r>
    </w:p>
    <w:p>
      <w:r>
        <w:rPr>
          <w:sz w:val="18"/>
        </w:rPr>
        <w:t>| `GCSCalculator` | eye, verbal, motor ints | 3-15 | &lt;=8 intubate, &lt;=12 CT required |</w:t>
      </w:r>
    </w:p>
    <w:p>
      <w:r>
        <w:rPr>
          <w:sz w:val="18"/>
        </w:rPr>
        <w:t>| `MoCACalculator` | Dict[str, int] (7 domains) + education | 0-30 | &lt;26 MCI, &lt;18 AD biomarkers, &lt;10 severe |</w:t>
      </w:r>
    </w:p>
    <w:p>
      <w:r>
        <w:rPr>
          <w:sz w:val="18"/>
        </w:rPr>
        <w:t>| `UPDRSCalculator` | Dict[str, int] (33 items) | 0-132 | &gt;=40 optimize meds, &gt;=59 DBS eval |</w:t>
      </w:r>
    </w:p>
    <w:p>
      <w:r>
        <w:rPr>
          <w:sz w:val="18"/>
        </w:rPr>
        <w:t>| `EDSSCalculator` | Dict[str, int] (7 FS) + step | 0-10 | &gt;=4 rehab, &gt;=6 walking aid, &gt;=7 wheelchair |</w:t>
      </w:r>
    </w:p>
    <w:p>
      <w:r>
        <w:rPr>
          <w:sz w:val="18"/>
        </w:rPr>
        <w:t>| `mRSCalculator` | Single int | 0-6 | &lt;=2 good outcome, &gt;=4 poor outcome |</w:t>
      </w:r>
    </w:p>
    <w:p>
      <w:r>
        <w:rPr>
          <w:sz w:val="18"/>
        </w:rPr>
        <w:t>| `HIT6Calculator` | List[str] (6 responses) | 36-78 | &gt;=56 preventive Rx, &gt;=60 CGRP |</w:t>
      </w:r>
    </w:p>
    <w:p>
      <w:r>
        <w:rPr>
          <w:sz w:val="18"/>
        </w:rPr>
        <w:t>| `ALSFRSCalculator` | Dict[str, int] (12 items) | 0-48 | &lt;30 multidisciplinary, &gt;1.0/mo rapid |</w:t>
      </w:r>
    </w:p>
    <w:p>
      <w:r>
        <w:rPr>
          <w:sz w:val="18"/>
        </w:rPr>
        <w:t>| `ASPECTSCalculator` | List[str] (affected regions) | 0-10 | &gt;=6 thrombectomy, &lt;6 large core |</w:t>
      </w:r>
    </w:p>
    <w:p>
      <w:r>
        <w:rPr>
          <w:sz w:val="18"/>
        </w:rPr>
        <w:t>| `HoehnYahrCalculator` | Single float | 1-5 | &gt;=3 DBS eval, &gt;=4 multidisciplinary |</w:t>
      </w:r>
    </w:p>
    <w:p>
      <w:pPr>
        <w:pStyle w:val="Heading1"/>
      </w:pPr>
      <w:r>
        <w:rPr>
          <w:color w:val="1B2333"/>
        </w:rPr>
        <w:t>3. Stroke Triage Pipeline</w:t>
      </w:r>
    </w:p>
    <w:p>
      <w:r>
        <w:t>The acute stroke triage pipeline is the most time-critical workflow. It integrates NIHSS, ASPECTS, and treatment eligibility into a unified decision pathway.</w:t>
      </w:r>
    </w:p>
    <w:p>
      <w:r>
        <w:rPr>
          <w:rFonts w:ascii="Courier New" w:hAnsi="Courier New"/>
          <w:sz w:val="16"/>
        </w:rPr>
        <w:t>Stroke Alert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+----+----+</w:t>
      </w:r>
    </w:p>
    <w:p>
      <w:r>
        <w:rPr>
          <w:rFonts w:ascii="Courier New" w:hAnsi="Courier New"/>
          <w:sz w:val="16"/>
        </w:rPr>
        <w:t>| NIHSS   |  Calculate stroke severity (0-42)</w:t>
      </w:r>
    </w:p>
    <w:p>
      <w:r>
        <w:rPr>
          <w:rFonts w:ascii="Courier New" w:hAnsi="Courier New"/>
          <w:sz w:val="16"/>
        </w:rPr>
        <w:t>| Calc    |  Determine tPA consideration threshold</w:t>
      </w:r>
    </w:p>
    <w:p>
      <w:r>
        <w:rPr>
          <w:rFonts w:ascii="Courier New" w:hAnsi="Courier New"/>
          <w:sz w:val="16"/>
        </w:rPr>
        <w:t>+---------+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+---&gt; NIHSS &gt;= 6? ---&gt; Order CTA Head/Neck for LVO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+----+----+</w:t>
      </w:r>
    </w:p>
    <w:p>
      <w:r>
        <w:rPr>
          <w:rFonts w:ascii="Courier New" w:hAnsi="Courier New"/>
          <w:sz w:val="16"/>
        </w:rPr>
        <w:t>| ASPECTS |  Score CT for ischemic changes (10 MCA regions)</w:t>
      </w:r>
    </w:p>
    <w:p>
      <w:r>
        <w:rPr>
          <w:rFonts w:ascii="Courier New" w:hAnsi="Courier New"/>
          <w:sz w:val="16"/>
        </w:rPr>
        <w:t>| Calc    |  Determine infarct core size</w:t>
      </w:r>
    </w:p>
    <w:p>
      <w:r>
        <w:rPr>
          <w:rFonts w:ascii="Courier New" w:hAnsi="Courier New"/>
          <w:sz w:val="16"/>
        </w:rPr>
        <w:t>+---------+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+---&gt; ASPECTS &gt;= 6? ---&gt; Favorable for intervention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+---------+</w:t>
      </w:r>
    </w:p>
    <w:p>
      <w:r>
        <w:rPr>
          <w:rFonts w:ascii="Courier New" w:hAnsi="Courier New"/>
          <w:sz w:val="16"/>
        </w:rPr>
        <w:t>| Time    |  Determine treatment window</w:t>
      </w:r>
    </w:p>
    <w:p>
      <w:r>
        <w:rPr>
          <w:rFonts w:ascii="Courier New" w:hAnsi="Courier New"/>
          <w:sz w:val="16"/>
        </w:rPr>
        <w:t>| Window  |</w:t>
      </w:r>
    </w:p>
    <w:p>
      <w:r>
        <w:rPr>
          <w:rFonts w:ascii="Courier New" w:hAnsi="Courier New"/>
          <w:sz w:val="16"/>
        </w:rPr>
        <w:t>+---------+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+---&gt; 0-4.5h? -------&gt; tPA eligibility check</w:t>
      </w:r>
    </w:p>
    <w:p>
      <w:r>
        <w:rPr>
          <w:rFonts w:ascii="Courier New" w:hAnsi="Courier New"/>
          <w:sz w:val="16"/>
        </w:rPr>
        <w:t xml:space="preserve">     |                       (NINDS/ECASS III criteria)</w:t>
      </w:r>
    </w:p>
    <w:p>
      <w:r>
        <w:rPr>
          <w:rFonts w:ascii="Courier New" w:hAnsi="Courier New"/>
          <w:sz w:val="16"/>
        </w:rPr>
        <w:t xml:space="preserve">     +---&gt; 6-16h? --------&gt; DEFUSE-3 criteria</w:t>
      </w:r>
    </w:p>
    <w:p>
      <w:r>
        <w:rPr>
          <w:rFonts w:ascii="Courier New" w:hAnsi="Courier New"/>
          <w:sz w:val="16"/>
        </w:rPr>
        <w:t xml:space="preserve">     |                       (core &lt;70mL, mismatch &gt;=1.8)</w:t>
      </w:r>
    </w:p>
    <w:p>
      <w:r>
        <w:rPr>
          <w:rFonts w:ascii="Courier New" w:hAnsi="Courier New"/>
          <w:sz w:val="16"/>
        </w:rPr>
        <w:t xml:space="preserve">     +---&gt; 6-24h? --------&gt; DAWN criteria</w:t>
      </w:r>
    </w:p>
    <w:p>
      <w:r>
        <w:rPr>
          <w:rFonts w:ascii="Courier New" w:hAnsi="Courier New"/>
          <w:sz w:val="16"/>
        </w:rPr>
        <w:t xml:space="preserve">     |                       (clinical-imaging mismatch)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+---------+</w:t>
      </w:r>
    </w:p>
    <w:p>
      <w:r>
        <w:rPr>
          <w:rFonts w:ascii="Courier New" w:hAnsi="Courier New"/>
          <w:sz w:val="16"/>
        </w:rPr>
        <w:t>| RAG     |  Search neuro_cerebrovascular (0.25),</w:t>
      </w:r>
    </w:p>
    <w:p>
      <w:r>
        <w:rPr>
          <w:rFonts w:ascii="Courier New" w:hAnsi="Courier New"/>
          <w:sz w:val="16"/>
        </w:rPr>
        <w:t>| Search  |  neuro_imaging (0.18), neuro_guidelines (0.12)</w:t>
      </w:r>
    </w:p>
    <w:p>
      <w:r>
        <w:rPr>
          <w:rFonts w:ascii="Courier New" w:hAnsi="Courier New"/>
          <w:sz w:val="16"/>
        </w:rPr>
        <w:t>+---------+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+---------+</w:t>
      </w:r>
    </w:p>
    <w:p>
      <w:r>
        <w:rPr>
          <w:rFonts w:ascii="Courier New" w:hAnsi="Courier New"/>
          <w:sz w:val="16"/>
        </w:rPr>
        <w:t>| LLM     |  Synthesize: severity, eligibility,</w:t>
      </w:r>
    </w:p>
    <w:p>
      <w:r>
        <w:rPr>
          <w:rFonts w:ascii="Courier New" w:hAnsi="Courier New"/>
          <w:sz w:val="16"/>
        </w:rPr>
        <w:t>| Synth   |  contraindications, secondary prevention</w:t>
      </w:r>
    </w:p>
    <w:p>
      <w:r>
        <w:rPr>
          <w:rFonts w:ascii="Courier New" w:hAnsi="Courier New"/>
          <w:sz w:val="16"/>
        </w:rPr>
        <w:t>+---------+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WorkflowResult with:</w:t>
      </w:r>
    </w:p>
    <w:p>
      <w:r>
        <w:rPr>
          <w:rFonts w:ascii="Courier New" w:hAnsi="Courier New"/>
          <w:sz w:val="16"/>
        </w:rPr>
        <w:t xml:space="preserve">  - stroke_type (ischemic/hemorrhagic/TIA/SAH)</w:t>
      </w:r>
    </w:p>
    <w:p>
      <w:r>
        <w:rPr>
          <w:rFonts w:ascii="Courier New" w:hAnsi="Courier New"/>
          <w:sz w:val="16"/>
        </w:rPr>
        <w:t xml:space="preserve">  - nihss_score + interpretation</w:t>
      </w:r>
    </w:p>
    <w:p>
      <w:r>
        <w:rPr>
          <w:rFonts w:ascii="Courier New" w:hAnsi="Courier New"/>
          <w:sz w:val="16"/>
        </w:rPr>
        <w:t xml:space="preserve">  - aspects_score + affected regions</w:t>
      </w:r>
    </w:p>
    <w:p>
      <w:r>
        <w:rPr>
          <w:rFonts w:ascii="Courier New" w:hAnsi="Courier New"/>
          <w:sz w:val="16"/>
        </w:rPr>
        <w:t xml:space="preserve">  - tpa_eligible (bool + reasoning)</w:t>
      </w:r>
    </w:p>
    <w:p>
      <w:r>
        <w:rPr>
          <w:rFonts w:ascii="Courier New" w:hAnsi="Courier New"/>
          <w:sz w:val="16"/>
        </w:rPr>
        <w:t xml:space="preserve">  - thrombectomy_eligible (bool + criteria met)</w:t>
      </w:r>
    </w:p>
    <w:p>
      <w:r>
        <w:rPr>
          <w:rFonts w:ascii="Courier New" w:hAnsi="Courier New"/>
          <w:sz w:val="16"/>
        </w:rPr>
        <w:t xml:space="preserve">  - toast_classification</w:t>
      </w:r>
    </w:p>
    <w:p>
      <w:r>
        <w:rPr>
          <w:rFonts w:ascii="Courier New" w:hAnsi="Courier New"/>
          <w:sz w:val="16"/>
        </w:rPr>
        <w:t xml:space="preserve">  - recommendations (prioritized)</w:t>
      </w:r>
    </w:p>
    <w:p>
      <w:r>
        <w:rPr>
          <w:rFonts w:ascii="Courier New" w:hAnsi="Courier New"/>
          <w:sz w:val="16"/>
        </w:rPr>
        <w:t xml:space="preserve">  - guideline_references (AHA/ASA)</w:t>
      </w:r>
    </w:p>
    <w:p>
      <w:pPr>
        <w:pStyle w:val="Heading1"/>
      </w:pPr>
      <w:r>
        <w:rPr>
          <w:color w:val="1B2333"/>
        </w:rPr>
        <w:t>4. ATN Biomarker Staging</w:t>
      </w:r>
    </w:p>
    <w:p>
      <w:r>
        <w:t>The dementia evaluation workflow implements the NIA-AA ATN (Amyloid-Tau-Neurodegeneration) framework for Alzheimer's disease biological staging.</w:t>
      </w:r>
    </w:p>
    <w:p>
      <w:r>
        <w:rPr>
          <w:rFonts w:ascii="Courier New" w:hAnsi="Courier New"/>
          <w:sz w:val="16"/>
        </w:rPr>
        <w:t>Patient Data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+----+-----------+</w:t>
      </w:r>
    </w:p>
    <w:p>
      <w:r>
        <w:rPr>
          <w:rFonts w:ascii="Courier New" w:hAnsi="Courier New"/>
          <w:sz w:val="16"/>
        </w:rPr>
        <w:t>| A (Amyloid)    |  CSF Abeta42/40 ratio, amyloid PET</w:t>
      </w:r>
    </w:p>
    <w:p>
      <w:r>
        <w:rPr>
          <w:rFonts w:ascii="Courier New" w:hAnsi="Courier New"/>
          <w:sz w:val="16"/>
        </w:rPr>
        <w:t>| Binary: +/-    |  Threshold: Abeta42 &lt; 500 pg/mL = A+</w:t>
      </w:r>
    </w:p>
    <w:p>
      <w:r>
        <w:rPr>
          <w:rFonts w:ascii="Courier New" w:hAnsi="Courier New"/>
          <w:sz w:val="16"/>
        </w:rPr>
        <w:t>+----------------+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+----+-----------+</w:t>
      </w:r>
    </w:p>
    <w:p>
      <w:r>
        <w:rPr>
          <w:rFonts w:ascii="Courier New" w:hAnsi="Courier New"/>
          <w:sz w:val="16"/>
        </w:rPr>
        <w:t>| T (Tau)        |  CSF p-tau 181 or 217, tau PET</w:t>
      </w:r>
    </w:p>
    <w:p>
      <w:r>
        <w:rPr>
          <w:rFonts w:ascii="Courier New" w:hAnsi="Courier New"/>
          <w:sz w:val="16"/>
        </w:rPr>
        <w:t>| Binary: +/-    |  Threshold: p-tau181 &gt; 27 pg/mL = T+</w:t>
      </w:r>
    </w:p>
    <w:p>
      <w:r>
        <w:rPr>
          <w:rFonts w:ascii="Courier New" w:hAnsi="Courier New"/>
          <w:sz w:val="16"/>
        </w:rPr>
        <w:t>+----------------+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+----+-----------+</w:t>
      </w:r>
    </w:p>
    <w:p>
      <w:r>
        <w:rPr>
          <w:rFonts w:ascii="Courier New" w:hAnsi="Courier New"/>
          <w:sz w:val="16"/>
        </w:rPr>
        <w:t>| N (Neuro-      |  CSF total tau, NfL, FDG-PET,</w:t>
      </w:r>
    </w:p>
    <w:p>
      <w:r>
        <w:rPr>
          <w:rFonts w:ascii="Courier New" w:hAnsi="Courier New"/>
          <w:sz w:val="16"/>
        </w:rPr>
        <w:t>|   degeneration)|  hippocampal volume on MRI</w:t>
      </w:r>
    </w:p>
    <w:p>
      <w:r>
        <w:rPr>
          <w:rFonts w:ascii="Courier New" w:hAnsi="Courier New"/>
          <w:sz w:val="16"/>
        </w:rPr>
        <w:t>| Binary: +/-    |  Threshold: t-tau &gt; 400 pg/mL = N+</w:t>
      </w:r>
    </w:p>
    <w:p>
      <w:r>
        <w:rPr>
          <w:rFonts w:ascii="Courier New" w:hAnsi="Courier New"/>
          <w:sz w:val="16"/>
        </w:rPr>
        <w:t>+----------------+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+----+-----------+</w:t>
      </w:r>
    </w:p>
    <w:p>
      <w:r>
        <w:rPr>
          <w:rFonts w:ascii="Courier New" w:hAnsi="Courier New"/>
          <w:sz w:val="16"/>
        </w:rPr>
        <w:t>| ATN Stage      |  8 possible combinations:</w:t>
      </w:r>
    </w:p>
    <w:p>
      <w:r>
        <w:rPr>
          <w:rFonts w:ascii="Courier New" w:hAnsi="Courier New"/>
          <w:sz w:val="16"/>
        </w:rPr>
        <w:t>| Classification |  A-T-N-, A+T-N-, A+T+N-, A+T+N+,</w:t>
      </w:r>
    </w:p>
    <w:p>
      <w:r>
        <w:rPr>
          <w:rFonts w:ascii="Courier New" w:hAnsi="Courier New"/>
          <w:sz w:val="16"/>
        </w:rPr>
        <w:t>|                |  A+T-N+, A-T+N-, A-T-N+, A-T+N+</w:t>
      </w:r>
    </w:p>
    <w:p>
      <w:r>
        <w:rPr>
          <w:rFonts w:ascii="Courier New" w:hAnsi="Courier New"/>
          <w:sz w:val="16"/>
        </w:rPr>
        <w:t>+----------------+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Clinical Interpretation:</w:t>
      </w:r>
    </w:p>
    <w:p>
      <w:r>
        <w:rPr>
          <w:rFonts w:ascii="Courier New" w:hAnsi="Courier New"/>
          <w:sz w:val="16"/>
        </w:rPr>
        <w:t xml:space="preserve">  A-T-N-  --&gt;  Normal AD biomarkers</w:t>
      </w:r>
    </w:p>
    <w:p>
      <w:r>
        <w:rPr>
          <w:rFonts w:ascii="Courier New" w:hAnsi="Courier New"/>
          <w:sz w:val="16"/>
        </w:rPr>
        <w:t xml:space="preserve">  A+T-N-  --&gt;  Alzheimer's pathologic change (preclinical)</w:t>
      </w:r>
    </w:p>
    <w:p>
      <w:r>
        <w:rPr>
          <w:rFonts w:ascii="Courier New" w:hAnsi="Courier New"/>
          <w:sz w:val="16"/>
        </w:rPr>
        <w:t xml:space="preserve">  A+T+N-  --&gt;  Alzheimer's disease (early biological)</w:t>
      </w:r>
    </w:p>
    <w:p>
      <w:r>
        <w:rPr>
          <w:rFonts w:ascii="Courier New" w:hAnsi="Courier New"/>
          <w:sz w:val="16"/>
        </w:rPr>
        <w:t xml:space="preserve">  A+T+N+  --&gt;  Alzheimer's disease (full biological)</w:t>
      </w:r>
    </w:p>
    <w:p>
      <w:r>
        <w:rPr>
          <w:rFonts w:ascii="Courier New" w:hAnsi="Courier New"/>
          <w:sz w:val="16"/>
        </w:rPr>
        <w:t xml:space="preserve">  A+T-N+  --&gt;  Alzheimer's with neurodegeneration (non-tau)</w:t>
      </w:r>
    </w:p>
    <w:p>
      <w:r>
        <w:rPr>
          <w:rFonts w:ascii="Courier New" w:hAnsi="Courier New"/>
          <w:sz w:val="16"/>
        </w:rPr>
        <w:t xml:space="preserve">  A-T+N-  --&gt;  Non-AD pathologic change (SNAP or primary tauopathy)</w:t>
      </w:r>
    </w:p>
    <w:p>
      <w:r>
        <w:rPr>
          <w:rFonts w:ascii="Courier New" w:hAnsi="Courier New"/>
          <w:sz w:val="16"/>
        </w:rPr>
        <w:t xml:space="preserve">  A-T-N+  --&gt;  Non-AD neurodegeneration</w:t>
      </w:r>
    </w:p>
    <w:p>
      <w:r>
        <w:rPr>
          <w:rFonts w:ascii="Courier New" w:hAnsi="Courier New"/>
          <w:sz w:val="16"/>
        </w:rPr>
        <w:t xml:space="preserve">  A-T+N+  --&gt;  Non-AD pathologic change with neurodegeneration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 xml:space="preserve">     v</w:t>
      </w:r>
    </w:p>
    <w:p>
      <w:r>
        <w:rPr>
          <w:rFonts w:ascii="Courier New" w:hAnsi="Courier New"/>
          <w:sz w:val="16"/>
        </w:rPr>
        <w:t>Treatment Eligibility:</w:t>
      </w:r>
    </w:p>
    <w:p>
      <w:r>
        <w:rPr>
          <w:rFonts w:ascii="Courier New" w:hAnsi="Courier New"/>
          <w:sz w:val="16"/>
        </w:rPr>
        <w:t xml:space="preserve">  A+T+/-N+/- with MoCA 18-25 --&gt; Anti-amyloid therapy candidate</w:t>
      </w:r>
    </w:p>
    <w:p>
      <w:r>
        <w:rPr>
          <w:rFonts w:ascii="Courier New" w:hAnsi="Courier New"/>
          <w:sz w:val="16"/>
        </w:rPr>
        <w:t xml:space="preserve">  (lecanemab/donanemab if amyloid confirmed on PET or CSF)</w:t>
      </w:r>
    </w:p>
    <w:p>
      <w:pPr>
        <w:pStyle w:val="Heading1"/>
      </w:pPr>
      <w:r>
        <w:rPr>
          <w:color w:val="1B2333"/>
        </w:rPr>
        <w:t>5. Multi-Collection Search Architecture</w:t>
      </w:r>
    </w:p>
    <w:p>
      <w:r>
        <w:rPr>
          <w:rFonts w:ascii="Courier New" w:hAnsi="Courier New"/>
          <w:sz w:val="16"/>
        </w:rPr>
        <w:t>Query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v</w:t>
      </w:r>
    </w:p>
    <w:p>
      <w:r>
        <w:rPr>
          <w:rFonts w:ascii="Courier New" w:hAnsi="Courier New"/>
          <w:sz w:val="16"/>
        </w:rPr>
        <w:t>+-------------------+</w:t>
      </w:r>
    </w:p>
    <w:p>
      <w:r>
        <w:rPr>
          <w:rFonts w:ascii="Courier New" w:hAnsi="Courier New"/>
          <w:sz w:val="16"/>
        </w:rPr>
        <w:t>| Query Expansion   |  1. Entity alias resolution (251+ mappings)</w:t>
      </w:r>
    </w:p>
    <w:p>
      <w:r>
        <w:rPr>
          <w:rFonts w:ascii="Courier New" w:hAnsi="Courier New"/>
          <w:sz w:val="16"/>
        </w:rPr>
        <w:t>| Module            |  2. Synonym expansion (16 domain maps)</w:t>
      </w:r>
    </w:p>
    <w:p>
      <w:r>
        <w:rPr>
          <w:rFonts w:ascii="Courier New" w:hAnsi="Courier New"/>
          <w:sz w:val="16"/>
        </w:rPr>
        <w:t>|                   |  3. Workflow term injection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 xml:space="preserve">         |</w:t>
      </w:r>
    </w:p>
    <w:p>
      <w:r>
        <w:rPr>
          <w:rFonts w:ascii="Courier New" w:hAnsi="Courier New"/>
          <w:sz w:val="16"/>
        </w:rPr>
        <w:t xml:space="preserve">         v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>| Workflow Router   |  Select workflow type (9 options)</w:t>
      </w:r>
    </w:p>
    <w:p>
      <w:r>
        <w:rPr>
          <w:rFonts w:ascii="Courier New" w:hAnsi="Courier New"/>
          <w:sz w:val="16"/>
        </w:rPr>
        <w:t>|                   |  Load collection weight profile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 xml:space="preserve">         |</w:t>
      </w:r>
    </w:p>
    <w:p>
      <w:r>
        <w:rPr>
          <w:rFonts w:ascii="Courier New" w:hAnsi="Courier New"/>
          <w:sz w:val="16"/>
        </w:rPr>
        <w:t xml:space="preserve">         v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>| BGE-small Encoder |  Encode expanded query to 384-dim vector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 xml:space="preserve">         |</w:t>
      </w:r>
    </w:p>
    <w:p>
      <w:r>
        <w:rPr>
          <w:rFonts w:ascii="Courier New" w:hAnsi="Courier New"/>
          <w:sz w:val="16"/>
        </w:rPr>
        <w:t xml:space="preserve">         v</w:t>
      </w:r>
    </w:p>
    <w:p>
      <w:r>
        <w:rPr>
          <w:rFonts w:ascii="Courier New" w:hAnsi="Courier New"/>
          <w:sz w:val="16"/>
        </w:rPr>
        <w:t>+--------+---------------------------+</w:t>
      </w:r>
    </w:p>
    <w:p>
      <w:r>
        <w:rPr>
          <w:rFonts w:ascii="Courier New" w:hAnsi="Courier New"/>
          <w:sz w:val="16"/>
        </w:rPr>
        <w:t>| ThreadPoolExecutor                 |</w:t>
      </w:r>
    </w:p>
    <w:p>
      <w:r>
        <w:rPr>
          <w:rFonts w:ascii="Courier New" w:hAnsi="Courier New"/>
          <w:sz w:val="16"/>
        </w:rPr>
        <w:t>| (max_workers = 14)                 |</w:t>
      </w:r>
    </w:p>
    <w:p>
      <w:r>
        <w:rPr>
          <w:rFonts w:ascii="Courier New" w:hAnsi="Courier New"/>
          <w:sz w:val="16"/>
        </w:rPr>
        <w:t>|                                    |</w:t>
      </w:r>
    </w:p>
    <w:p>
      <w:r>
        <w:rPr>
          <w:rFonts w:ascii="Courier New" w:hAnsi="Courier New"/>
          <w:sz w:val="16"/>
        </w:rPr>
        <w:t>|  neuro_literature    (weight=0.08) |</w:t>
      </w:r>
    </w:p>
    <w:p>
      <w:r>
        <w:rPr>
          <w:rFonts w:ascii="Courier New" w:hAnsi="Courier New"/>
          <w:sz w:val="16"/>
        </w:rPr>
        <w:t>|  neuro_trials        (weight=0.06) |</w:t>
      </w:r>
    </w:p>
    <w:p>
      <w:r>
        <w:rPr>
          <w:rFonts w:ascii="Courier New" w:hAnsi="Courier New"/>
          <w:sz w:val="16"/>
        </w:rPr>
        <w:t>|  neuro_imaging       (weight=0.09) |</w:t>
      </w:r>
    </w:p>
    <w:p>
      <w:r>
        <w:rPr>
          <w:rFonts w:ascii="Courier New" w:hAnsi="Courier New"/>
          <w:sz w:val="16"/>
        </w:rPr>
        <w:t>|  neuro_electrophys.  (weight=0.07) |</w:t>
      </w:r>
    </w:p>
    <w:p>
      <w:r>
        <w:rPr>
          <w:rFonts w:ascii="Courier New" w:hAnsi="Courier New"/>
          <w:sz w:val="16"/>
        </w:rPr>
        <w:t>|  neuro_degenerative  (weight=0.09) |     Boosted weights per workflow:</w:t>
      </w:r>
    </w:p>
    <w:p>
      <w:r>
        <w:rPr>
          <w:rFonts w:ascii="Courier New" w:hAnsi="Courier New"/>
          <w:sz w:val="16"/>
        </w:rPr>
        <w:t>|  neuro_cerebrovasc.  (weight=0.09) |     e.g., acute_stroke boosts</w:t>
      </w:r>
    </w:p>
    <w:p>
      <w:r>
        <w:rPr>
          <w:rFonts w:ascii="Courier New" w:hAnsi="Courier New"/>
          <w:sz w:val="16"/>
        </w:rPr>
        <w:t>|  neuro_epilepsy      (weight=0.08) |     neuro_cerebrovascular to 0.25</w:t>
      </w:r>
    </w:p>
    <w:p>
      <w:r>
        <w:rPr>
          <w:rFonts w:ascii="Courier New" w:hAnsi="Courier New"/>
          <w:sz w:val="16"/>
        </w:rPr>
        <w:t>|  neuro_oncology      (weight=0.06) |</w:t>
      </w:r>
    </w:p>
    <w:p>
      <w:r>
        <w:rPr>
          <w:rFonts w:ascii="Courier New" w:hAnsi="Courier New"/>
          <w:sz w:val="16"/>
        </w:rPr>
        <w:t>|  neuro_ms            (weight=0.07) |</w:t>
      </w:r>
    </w:p>
    <w:p>
      <w:r>
        <w:rPr>
          <w:rFonts w:ascii="Courier New" w:hAnsi="Courier New"/>
          <w:sz w:val="16"/>
        </w:rPr>
        <w:t>|  neuro_movement      (weight=0.07) |</w:t>
      </w:r>
    </w:p>
    <w:p>
      <w:r>
        <w:rPr>
          <w:rFonts w:ascii="Courier New" w:hAnsi="Courier New"/>
          <w:sz w:val="16"/>
        </w:rPr>
        <w:t>|  neuro_headache      (weight=0.06) |</w:t>
      </w:r>
    </w:p>
    <w:p>
      <w:r>
        <w:rPr>
          <w:rFonts w:ascii="Courier New" w:hAnsi="Courier New"/>
          <w:sz w:val="16"/>
        </w:rPr>
        <w:t>|  neuro_neuromuscular (weight=0.06) |</w:t>
      </w:r>
    </w:p>
    <w:p>
      <w:r>
        <w:rPr>
          <w:rFonts w:ascii="Courier New" w:hAnsi="Courier New"/>
          <w:sz w:val="16"/>
        </w:rPr>
        <w:t>|  neuro_guidelines    (weight=0.07) |</w:t>
      </w:r>
    </w:p>
    <w:p>
      <w:r>
        <w:rPr>
          <w:rFonts w:ascii="Courier New" w:hAnsi="Courier New"/>
          <w:sz w:val="16"/>
        </w:rPr>
        <w:t>|  genomic_evidence    (weight=0.05) |</w:t>
      </w:r>
    </w:p>
    <w:p>
      <w:r>
        <w:rPr>
          <w:rFonts w:ascii="Courier New" w:hAnsi="Courier New"/>
          <w:sz w:val="16"/>
        </w:rPr>
        <w:t>+--------+---------------------------+</w:t>
      </w:r>
    </w:p>
    <w:p>
      <w:r>
        <w:rPr>
          <w:rFonts w:ascii="Courier New" w:hAnsi="Courier New"/>
          <w:sz w:val="16"/>
        </w:rPr>
        <w:t xml:space="preserve">         |</w:t>
      </w:r>
    </w:p>
    <w:p>
      <w:r>
        <w:rPr>
          <w:rFonts w:ascii="Courier New" w:hAnsi="Courier New"/>
          <w:sz w:val="16"/>
        </w:rPr>
        <w:t xml:space="preserve">         v  (parallel results, each scored)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>| Score Aggregation  |  weighted_score = cosine_sim * weight</w:t>
      </w:r>
    </w:p>
    <w:p>
      <w:r>
        <w:rPr>
          <w:rFonts w:ascii="Courier New" w:hAnsi="Courier New"/>
          <w:sz w:val="16"/>
        </w:rPr>
        <w:t>| &amp; Ranking          |  Filter by SCORE_THRESHOLD (0.4)</w:t>
      </w:r>
    </w:p>
    <w:p>
      <w:r>
        <w:rPr>
          <w:rFonts w:ascii="Courier New" w:hAnsi="Courier New"/>
          <w:sz w:val="16"/>
        </w:rPr>
        <w:t>|                    |  Sort by weighted_score descending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 xml:space="preserve">         |</w:t>
      </w:r>
    </w:p>
    <w:p>
      <w:r>
        <w:rPr>
          <w:rFonts w:ascii="Courier New" w:hAnsi="Courier New"/>
          <w:sz w:val="16"/>
        </w:rPr>
        <w:t xml:space="preserve">         v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>| Citation Scoring   |  &gt;= 0.75 = high relevance</w:t>
      </w:r>
    </w:p>
    <w:p>
      <w:r>
        <w:rPr>
          <w:rFonts w:ascii="Courier New" w:hAnsi="Courier New"/>
          <w:sz w:val="16"/>
        </w:rPr>
        <w:t>|                    |  &gt;= 0.60 = medium relevance</w:t>
      </w:r>
    </w:p>
    <w:p>
      <w:r>
        <w:rPr>
          <w:rFonts w:ascii="Courier New" w:hAnsi="Courier New"/>
          <w:sz w:val="16"/>
        </w:rPr>
        <w:t>|                    |  &lt; 0.60 = low relevance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 xml:space="preserve">         |</w:t>
      </w:r>
    </w:p>
    <w:p>
      <w:r>
        <w:rPr>
          <w:rFonts w:ascii="Courier New" w:hAnsi="Courier New"/>
          <w:sz w:val="16"/>
        </w:rPr>
        <w:t xml:space="preserve">         v</w:t>
      </w:r>
    </w:p>
    <w:p>
      <w:r>
        <w:rPr>
          <w:rFonts w:ascii="Courier New" w:hAnsi="Courier New"/>
          <w:sz w:val="16"/>
        </w:rPr>
        <w:t>Top-K results with metadata, citations, evidence levels</w:t>
      </w:r>
    </w:p>
    <w:p>
      <w:pPr>
        <w:pStyle w:val="Heading1"/>
      </w:pPr>
      <w:r>
        <w:rPr>
          <w:color w:val="1B2333"/>
        </w:rPr>
        <w:t>6. Workflow Engine Design</w:t>
      </w:r>
    </w:p>
    <w:p>
      <w:r>
        <w:rPr>
          <w:rFonts w:ascii="Courier New" w:hAnsi="Courier New"/>
          <w:sz w:val="16"/>
        </w:rPr>
        <w:t>class BaseNeuroWorkflow(ABC):</w:t>
      </w:r>
    </w:p>
    <w:p>
      <w:r>
        <w:rPr>
          <w:rFonts w:ascii="Courier New" w:hAnsi="Courier New"/>
          <w:sz w:val="16"/>
        </w:rPr>
        <w:t xml:space="preserve">    """Abstract base for all neurology clinical workflows."""</w:t>
      </w:r>
    </w:p>
    <w:p/>
    <w:p>
      <w:r>
        <w:rPr>
          <w:rFonts w:ascii="Courier New" w:hAnsi="Courier New"/>
          <w:sz w:val="16"/>
        </w:rPr>
        <w:t xml:space="preserve">    workflow_type: NeuroWorkflowType</w:t>
      </w:r>
    </w:p>
    <w:p>
      <w:r>
        <w:rPr>
          <w:rFonts w:ascii="Courier New" w:hAnsi="Courier New"/>
          <w:sz w:val="16"/>
        </w:rPr>
        <w:t xml:space="preserve">    domain: Optional[NeuroDomain] = None</w:t>
      </w:r>
    </w:p>
    <w:p/>
    <w:p>
      <w:r>
        <w:rPr>
          <w:rFonts w:ascii="Courier New" w:hAnsi="Courier New"/>
          <w:sz w:val="16"/>
        </w:rPr>
        <w:t xml:space="preserve">    def run(self, inputs: dict) -&gt; WorkflowResult:</w:t>
      </w:r>
    </w:p>
    <w:p>
      <w:r>
        <w:rPr>
          <w:rFonts w:ascii="Courier New" w:hAnsi="Courier New"/>
          <w:sz w:val="16"/>
        </w:rPr>
        <w:t xml:space="preserve">        """Template method: preprocess -&gt; execute -&gt; postprocess."""</w:t>
      </w:r>
    </w:p>
    <w:p>
      <w:r>
        <w:rPr>
          <w:rFonts w:ascii="Courier New" w:hAnsi="Courier New"/>
          <w:sz w:val="16"/>
        </w:rPr>
        <w:t xml:space="preserve">        preprocessed = self.preprocess(inputs)</w:t>
      </w:r>
    </w:p>
    <w:p>
      <w:r>
        <w:rPr>
          <w:rFonts w:ascii="Courier New" w:hAnsi="Courier New"/>
          <w:sz w:val="16"/>
        </w:rPr>
        <w:t xml:space="preserve">        result = self.execute(preprocessed)</w:t>
      </w:r>
    </w:p>
    <w:p>
      <w:r>
        <w:rPr>
          <w:rFonts w:ascii="Courier New" w:hAnsi="Courier New"/>
          <w:sz w:val="16"/>
        </w:rPr>
        <w:t xml:space="preserve">        return self.postprocess(result)</w:t>
      </w:r>
    </w:p>
    <w:p/>
    <w:p>
      <w:r>
        <w:rPr>
          <w:rFonts w:ascii="Courier New" w:hAnsi="Courier New"/>
          <w:sz w:val="16"/>
        </w:rPr>
        <w:t xml:space="preserve">    @abstractmethod</w:t>
      </w:r>
    </w:p>
    <w:p>
      <w:r>
        <w:rPr>
          <w:rFonts w:ascii="Courier New" w:hAnsi="Courier New"/>
          <w:sz w:val="16"/>
        </w:rPr>
        <w:t xml:space="preserve">    def preprocess(self, inputs: dict) -&gt; dict: ...</w:t>
      </w:r>
    </w:p>
    <w:p/>
    <w:p>
      <w:r>
        <w:rPr>
          <w:rFonts w:ascii="Courier New" w:hAnsi="Courier New"/>
          <w:sz w:val="16"/>
        </w:rPr>
        <w:t xml:space="preserve">    @abstractmethod</w:t>
      </w:r>
    </w:p>
    <w:p>
      <w:r>
        <w:rPr>
          <w:rFonts w:ascii="Courier New" w:hAnsi="Courier New"/>
          <w:sz w:val="16"/>
        </w:rPr>
        <w:t xml:space="preserve">    def execute(self, data: dict) -&gt; WorkflowResult: ...</w:t>
      </w:r>
    </w:p>
    <w:p/>
    <w:p>
      <w:r>
        <w:rPr>
          <w:rFonts w:ascii="Courier New" w:hAnsi="Courier New"/>
          <w:sz w:val="16"/>
        </w:rPr>
        <w:t xml:space="preserve">    @abstractmethod</w:t>
      </w:r>
    </w:p>
    <w:p>
      <w:r>
        <w:rPr>
          <w:rFonts w:ascii="Courier New" w:hAnsi="Courier New"/>
          <w:sz w:val="16"/>
        </w:rPr>
        <w:t xml:space="preserve">    def postprocess(self, result: WorkflowResult) -&gt; WorkflowResult: ...</w:t>
      </w:r>
    </w:p>
    <w:p>
      <w:r>
        <w:t>Each workflow implements domain-specific logic:</w:t>
      </w:r>
    </w:p>
    <w:p>
      <w:pPr>
        <w:pStyle w:val="ListBullet"/>
      </w:pPr>
      <w:r>
        <w:t>**Preprocess:** Validate inputs, compute relevant scales, extract structured data</w:t>
      </w:r>
    </w:p>
    <w:p>
      <w:pPr>
        <w:pStyle w:val="ListBullet"/>
      </w:pPr>
      <w:r>
        <w:t>**Execute:** Run RAG search with workflow-specific weights, call LLM for synthesis</w:t>
      </w:r>
    </w:p>
    <w:p>
      <w:pPr>
        <w:pStyle w:val="ListBullet"/>
      </w:pPr>
      <w:r>
        <w:t>**Postprocess:** Add cross-modal triggers, format recommendations, attach guidelines</w:t>
      </w:r>
    </w:p>
    <w:p>
      <w:pPr>
        <w:pStyle w:val="Heading1"/>
      </w:pPr>
      <w:r>
        <w:rPr>
          <w:color w:val="1B2333"/>
        </w:rPr>
        <w:t>7. Data Flow Diagrams</w:t>
      </w:r>
    </w:p>
    <w:p>
      <w:pPr>
        <w:pStyle w:val="Heading2"/>
      </w:pPr>
      <w:r>
        <w:rPr>
          <w:color w:val="1AAFCC"/>
        </w:rPr>
        <w:t>Query Processing Pipeline</w:t>
      </w:r>
    </w:p>
    <w:p>
      <w:r>
        <w:rPr>
          <w:rFonts w:ascii="Courier New" w:hAnsi="Courier New"/>
          <w:sz w:val="16"/>
        </w:rPr>
        <w:t>User Query (REST/Streamlit)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Input validation (Pydantic NeuroQuery model)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Workflow inference (if not specified)</w:t>
      </w:r>
    </w:p>
    <w:p>
      <w:r>
        <w:rPr>
          <w:rFonts w:ascii="Courier New" w:hAnsi="Courier New"/>
          <w:sz w:val="16"/>
        </w:rPr>
        <w:t xml:space="preserve">  |      |</w:t>
      </w:r>
    </w:p>
    <w:p>
      <w:r>
        <w:rPr>
          <w:rFonts w:ascii="Courier New" w:hAnsi="Courier New"/>
          <w:sz w:val="16"/>
        </w:rPr>
        <w:t xml:space="preserve">  |      +--&gt; Score each workflow's terms against query</w:t>
      </w:r>
    </w:p>
    <w:p>
      <w:r>
        <w:rPr>
          <w:rFonts w:ascii="Courier New" w:hAnsi="Courier New"/>
          <w:sz w:val="16"/>
        </w:rPr>
        <w:t xml:space="preserve">  |      +--&gt; Select highest-scoring workflow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Query expansion (aliases + synonyms + workflow terms)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RAG search (parallel across 14 collections)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Evidence ranking (weighted cosine similarity)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Clinical scale computation (if applicable)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LLM synthesis (Claude with neuro system prompt)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Response assembly (NeuroResponse with citations)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Return to user</w:t>
      </w:r>
    </w:p>
    <w:p>
      <w:pPr>
        <w:pStyle w:val="Heading2"/>
      </w:pPr>
      <w:r>
        <w:rPr>
          <w:color w:val="1AAFCC"/>
        </w:rPr>
        <w:t>Data Ingestion Pipeline</w:t>
      </w:r>
    </w:p>
    <w:p>
      <w:r>
        <w:rPr>
          <w:rFonts w:ascii="Courier New" w:hAnsi="Courier New"/>
          <w:sz w:val="16"/>
        </w:rPr>
        <w:t>Source Data (PubMed, ClinicalTrials.gov, Guidelines)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Domain-specific parser (pubmed/imaging/eeg)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Text extraction and normalization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BGE-small embedding (384-dim)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Milvus upsert to target collection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Index rebuild (if needed)</w:t>
      </w:r>
    </w:p>
    <w:p>
      <w:pPr>
        <w:pStyle w:val="Heading1"/>
      </w:pPr>
      <w:r>
        <w:rPr>
          <w:color w:val="1B2333"/>
        </w:rPr>
        <w:t>8. Security Architecture</w:t>
      </w:r>
    </w:p>
    <w:p>
      <w:r>
        <w:rPr>
          <w:rFonts w:ascii="Courier New" w:hAnsi="Courier New"/>
          <w:sz w:val="16"/>
        </w:rPr>
        <w:t>External Request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Rate Limiter (100 req/60s per IP)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Request Size Check (&lt;= 10 MB)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API Key Validation (X-API-Key header)</w:t>
      </w:r>
    </w:p>
    <w:p>
      <w:r>
        <w:rPr>
          <w:rFonts w:ascii="Courier New" w:hAnsi="Courier New"/>
          <w:sz w:val="16"/>
        </w:rPr>
        <w:t xml:space="preserve">  |      Skip: /health, /healthz, /metrics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CORS Validation (allowlist from settings)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Pydantic Input Validation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Business Logic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Response (with error handling)</w:t>
      </w:r>
    </w:p>
    <w:p>
      <w:pPr>
        <w:pStyle w:val="Heading1"/>
      </w:pPr>
      <w:r>
        <w:rPr>
          <w:color w:val="1B2333"/>
        </w:rPr>
        <w:t>9. Conversation Memory Architecture</w:t>
      </w:r>
    </w:p>
    <w:p>
      <w:r>
        <w:rPr>
          <w:rFonts w:ascii="Courier New" w:hAnsi="Courier New"/>
          <w:sz w:val="16"/>
        </w:rPr>
        <w:t>User Message (with session_id)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Load conversation from disk</w:t>
      </w:r>
    </w:p>
    <w:p>
      <w:r>
        <w:rPr>
          <w:rFonts w:ascii="Courier New" w:hAnsi="Courier New"/>
          <w:sz w:val="16"/>
        </w:rPr>
        <w:t xml:space="preserve">  |      File: data/cache/conversations/{session_id}.json</w:t>
      </w:r>
    </w:p>
    <w:p>
      <w:r>
        <w:rPr>
          <w:rFonts w:ascii="Courier New" w:hAnsi="Courier New"/>
          <w:sz w:val="16"/>
        </w:rPr>
        <w:t xml:space="preserve">  |      TTL: 24 hours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Append to history (max 3 turns)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Include history in LLM context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Save updated conversation to disk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Return response with session_id</w:t>
      </w:r>
    </w:p>
    <w:p>
      <w:pPr>
        <w:pStyle w:val="Heading1"/>
      </w:pPr>
      <w:r>
        <w:rPr>
          <w:color w:val="1B2333"/>
        </w:rPr>
        <w:t>10. Cross-Agent Communication</w:t>
      </w:r>
    </w:p>
    <w:p>
      <w:r>
        <w:rPr>
          <w:rFonts w:ascii="Courier New" w:hAnsi="Courier New"/>
          <w:sz w:val="16"/>
        </w:rPr>
        <w:t>Neurology Agent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Cross-modal trigger detected</w:t>
      </w:r>
    </w:p>
    <w:p>
      <w:r>
        <w:rPr>
          <w:rFonts w:ascii="Courier New" w:hAnsi="Courier New"/>
          <w:sz w:val="16"/>
        </w:rPr>
        <w:t xml:space="preserve">  |      (e.g., stroke patient with genetic variant)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HTTP request to target agent</w:t>
      </w:r>
    </w:p>
    <w:p>
      <w:r>
        <w:rPr>
          <w:rFonts w:ascii="Courier New" w:hAnsi="Courier New"/>
          <w:sz w:val="16"/>
        </w:rPr>
        <w:t xml:space="preserve">  |      Timeout: 30 seconds</w:t>
      </w:r>
    </w:p>
    <w:p>
      <w:r>
        <w:rPr>
          <w:rFonts w:ascii="Courier New" w:hAnsi="Courier New"/>
          <w:sz w:val="16"/>
        </w:rPr>
        <w:t xml:space="preserve">  |      Agents: genomics (8527), cardiology (8126),</w:t>
      </w:r>
    </w:p>
    <w:p>
      <w:r>
        <w:rPr>
          <w:rFonts w:ascii="Courier New" w:hAnsi="Courier New"/>
          <w:sz w:val="16"/>
        </w:rPr>
        <w:t xml:space="preserve">  |              biomarker (8529), trial (8538),</w:t>
      </w:r>
    </w:p>
    <w:p>
      <w:r>
        <w:rPr>
          <w:rFonts w:ascii="Courier New" w:hAnsi="Courier New"/>
          <w:sz w:val="16"/>
        </w:rPr>
        <w:t xml:space="preserve">  |              rare disease (8134)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Merge external evidence into response</w:t>
      </w:r>
    </w:p>
    <w:p>
      <w:r>
        <w:rPr>
          <w:rFonts w:ascii="Courier New" w:hAnsi="Courier New"/>
          <w:sz w:val="16"/>
        </w:rPr>
        <w:t xml:space="preserve">  |</w:t>
      </w:r>
    </w:p>
    <w:p>
      <w:r>
        <w:rPr>
          <w:rFonts w:ascii="Courier New" w:hAnsi="Courier New"/>
          <w:sz w:val="16"/>
        </w:rPr>
        <w:t xml:space="preserve">  +--&gt; SSE event broadcast to subscribers</w:t>
      </w:r>
    </w:p>
    <w:p>
      <w:pPr>
        <w:pStyle w:val="Heading1"/>
      </w:pPr>
      <w:r>
        <w:rPr>
          <w:color w:val="1B2333"/>
        </w:rPr>
        <w:t>11. Deployment Topology</w:t>
      </w:r>
    </w:p>
    <w:p>
      <w:pPr>
        <w:pStyle w:val="Heading2"/>
      </w:pPr>
      <w:r>
        <w:rPr>
          <w:color w:val="1AAFCC"/>
        </w:rPr>
        <w:t>Standalone Mode</w:t>
      </w:r>
    </w:p>
    <w:p>
      <w:r>
        <w:rPr>
          <w:rFonts w:ascii="Courier New" w:hAnsi="Courier New"/>
          <w:sz w:val="16"/>
        </w:rPr>
        <w:t>+----- Docker Host -----+</w:t>
      </w:r>
    </w:p>
    <w:p>
      <w:r>
        <w:rPr>
          <w:rFonts w:ascii="Courier New" w:hAnsi="Courier New"/>
          <w:sz w:val="16"/>
        </w:rPr>
        <w:t>|                        |</w:t>
      </w:r>
    </w:p>
    <w:p>
      <w:r>
        <w:rPr>
          <w:rFonts w:ascii="Courier New" w:hAnsi="Courier New"/>
          <w:sz w:val="16"/>
        </w:rPr>
        <w:t>|  neuro-network         |</w:t>
      </w:r>
    </w:p>
    <w:p>
      <w:r>
        <w:rPr>
          <w:rFonts w:ascii="Courier New" w:hAnsi="Courier New"/>
          <w:sz w:val="16"/>
        </w:rPr>
        <w:t>|  +-----------+         |</w:t>
      </w:r>
    </w:p>
    <w:p>
      <w:r>
        <w:rPr>
          <w:rFonts w:ascii="Courier New" w:hAnsi="Courier New"/>
          <w:sz w:val="16"/>
        </w:rPr>
        <w:t>|  | etcd      |         |</w:t>
      </w:r>
    </w:p>
    <w:p>
      <w:r>
        <w:rPr>
          <w:rFonts w:ascii="Courier New" w:hAnsi="Courier New"/>
          <w:sz w:val="16"/>
        </w:rPr>
        <w:t>|  | MinIO     |         |</w:t>
      </w:r>
    </w:p>
    <w:p>
      <w:r>
        <w:rPr>
          <w:rFonts w:ascii="Courier New" w:hAnsi="Courier New"/>
          <w:sz w:val="16"/>
        </w:rPr>
        <w:t>|  | Milvus    |-59530   |</w:t>
      </w:r>
    </w:p>
    <w:p>
      <w:r>
        <w:rPr>
          <w:rFonts w:ascii="Courier New" w:hAnsi="Courier New"/>
          <w:sz w:val="16"/>
        </w:rPr>
        <w:t>|  +-----------+         |</w:t>
      </w:r>
    </w:p>
    <w:p>
      <w:r>
        <w:rPr>
          <w:rFonts w:ascii="Courier New" w:hAnsi="Courier New"/>
          <w:sz w:val="16"/>
        </w:rPr>
        <w:t>|  | neuro-api |-8528    |</w:t>
      </w:r>
    </w:p>
    <w:p>
      <w:r>
        <w:rPr>
          <w:rFonts w:ascii="Courier New" w:hAnsi="Courier New"/>
          <w:sz w:val="16"/>
        </w:rPr>
        <w:t>|  | neuro-ui  |-8529    |</w:t>
      </w:r>
    </w:p>
    <w:p>
      <w:r>
        <w:rPr>
          <w:rFonts w:ascii="Courier New" w:hAnsi="Courier New"/>
          <w:sz w:val="16"/>
        </w:rPr>
        <w:t>|  | neuro-    |         |</w:t>
      </w:r>
    </w:p>
    <w:p>
      <w:r>
        <w:rPr>
          <w:rFonts w:ascii="Courier New" w:hAnsi="Courier New"/>
          <w:sz w:val="16"/>
        </w:rPr>
        <w:t>|  |   setup   |         |</w:t>
      </w:r>
    </w:p>
    <w:p>
      <w:r>
        <w:rPr>
          <w:rFonts w:ascii="Courier New" w:hAnsi="Courier New"/>
          <w:sz w:val="16"/>
        </w:rPr>
        <w:t>|  +-----------+         |</w:t>
      </w:r>
    </w:p>
    <w:p>
      <w:r>
        <w:rPr>
          <w:rFonts w:ascii="Courier New" w:hAnsi="Courier New"/>
          <w:sz w:val="16"/>
        </w:rPr>
        <w:t>+------------------------+</w:t>
      </w:r>
    </w:p>
    <w:p>
      <w:pPr>
        <w:pStyle w:val="Heading2"/>
      </w:pPr>
      <w:r>
        <w:rPr>
          <w:color w:val="1AAFCC"/>
        </w:rPr>
        <w:t>Integrated Mode (DGX Spark)</w:t>
      </w:r>
    </w:p>
    <w:p>
      <w:r>
        <w:rPr>
          <w:rFonts w:ascii="Courier New" w:hAnsi="Courier New"/>
          <w:sz w:val="16"/>
        </w:rPr>
        <w:t>+----- DGX Spark --------+</w:t>
      </w:r>
    </w:p>
    <w:p>
      <w:r>
        <w:rPr>
          <w:rFonts w:ascii="Courier New" w:hAnsi="Courier New"/>
          <w:sz w:val="16"/>
        </w:rPr>
        <w:t>|                         |</w:t>
      </w:r>
    </w:p>
    <w:p>
      <w:r>
        <w:rPr>
          <w:rFonts w:ascii="Courier New" w:hAnsi="Courier New"/>
          <w:sz w:val="16"/>
        </w:rPr>
        <w:t>|  Shared Milvus (19530)  |</w:t>
      </w:r>
    </w:p>
    <w:p>
      <w:r>
        <w:rPr>
          <w:rFonts w:ascii="Courier New" w:hAnsi="Courier New"/>
          <w:sz w:val="16"/>
        </w:rPr>
        <w:t>|  Shared etcd + MinIO    |</w:t>
      </w:r>
    </w:p>
    <w:p>
      <w:r>
        <w:rPr>
          <w:rFonts w:ascii="Courier New" w:hAnsi="Courier New"/>
          <w:sz w:val="16"/>
        </w:rPr>
        <w:t>|                         |</w:t>
      </w:r>
    </w:p>
    <w:p>
      <w:r>
        <w:rPr>
          <w:rFonts w:ascii="Courier New" w:hAnsi="Courier New"/>
          <w:sz w:val="16"/>
        </w:rPr>
        <w:t>|  neuro-api    (8528)    |</w:t>
      </w:r>
    </w:p>
    <w:p>
      <w:r>
        <w:rPr>
          <w:rFonts w:ascii="Courier New" w:hAnsi="Courier New"/>
          <w:sz w:val="16"/>
        </w:rPr>
        <w:t>|  neuro-ui     (8529)    |</w:t>
      </w:r>
    </w:p>
    <w:p>
      <w:r>
        <w:rPr>
          <w:rFonts w:ascii="Courier New" w:hAnsi="Courier New"/>
          <w:sz w:val="16"/>
        </w:rPr>
        <w:t>|  + 8 other agents       |</w:t>
      </w:r>
    </w:p>
    <w:p>
      <w:r>
        <w:rPr>
          <w:rFonts w:ascii="Courier New" w:hAnsi="Courier New"/>
          <w:sz w:val="16"/>
        </w:rPr>
        <w:t>|  + landing page (8080)  |</w:t>
      </w:r>
    </w:p>
    <w:p>
      <w:r>
        <w:rPr>
          <w:rFonts w:ascii="Courier New" w:hAnsi="Courier New"/>
          <w:sz w:val="16"/>
        </w:rPr>
        <w:t>|  + Prometheus + Grafana  |</w:t>
      </w:r>
    </w:p>
    <w:p>
      <w:r>
        <w:rPr>
          <w:rFonts w:ascii="Courier New" w:hAnsi="Courier New"/>
          <w:sz w:val="16"/>
        </w:rPr>
        <w:t>+-------------------------+</w:t>
      </w:r>
    </w:p>
    <w:p>
      <w:r>
        <w:t>*Neurology Intelligence Agent -- Architecture Guide v1.0.0*</w:t>
      </w:r>
    </w:p>
    <w:p>
      <w:r>
        <w:t>*HCLS AI Factory / GTC Europe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