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333"/>
        </w:rPr>
        <w:t>Neurology Intelligence Agent -- Demo Guide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pPr>
        <w:pStyle w:val="Heading1"/>
      </w:pPr>
      <w:r>
        <w:rPr>
          <w:color w:val="1B2333"/>
        </w:rPr>
        <w:t>Pre-Demo Setup</w:t>
      </w:r>
    </w:p>
    <w:p>
      <w:pPr>
        <w:pStyle w:val="Heading2"/>
      </w:pPr>
      <w:r>
        <w:rPr>
          <w:color w:val="1AAFCC"/>
        </w:rPr>
        <w:t>Verify Services</w:t>
      </w:r>
    </w:p>
    <w:p>
      <w:r>
        <w:rPr>
          <w:rFonts w:ascii="Courier New" w:hAnsi="Courier New"/>
          <w:sz w:val="16"/>
        </w:rPr>
        <w:t># Confirm all services running</w:t>
      </w:r>
    </w:p>
    <w:p>
      <w:r>
        <w:rPr>
          <w:rFonts w:ascii="Courier New" w:hAnsi="Courier New"/>
          <w:sz w:val="16"/>
        </w:rPr>
        <w:t>docker compose ps</w:t>
      </w:r>
    </w:p>
    <w:p/>
    <w:p>
      <w:r>
        <w:rPr>
          <w:rFonts w:ascii="Courier New" w:hAnsi="Courier New"/>
          <w:sz w:val="16"/>
        </w:rPr>
        <w:t># Verify health</w:t>
      </w:r>
    </w:p>
    <w:p>
      <w:r>
        <w:rPr>
          <w:rFonts w:ascii="Courier New" w:hAnsi="Courier New"/>
          <w:sz w:val="16"/>
        </w:rPr>
        <w:t>curl -s http://localhost:8528/health | python -m json.tool</w:t>
      </w:r>
    </w:p>
    <w:p/>
    <w:p>
      <w:r>
        <w:rPr>
          <w:rFonts w:ascii="Courier New" w:hAnsi="Courier New"/>
          <w:sz w:val="16"/>
        </w:rPr>
        <w:t># Expected: "status": "healthy", "collections": 14, "workflows": 9, "scales": 10</w:t>
      </w:r>
    </w:p>
    <w:p/>
    <w:p>
      <w:r>
        <w:rPr>
          <w:rFonts w:ascii="Courier New" w:hAnsi="Courier New"/>
          <w:sz w:val="16"/>
        </w:rPr>
        <w:t># Open Streamlit UI</w:t>
      </w:r>
    </w:p>
    <w:p>
      <w:r>
        <w:rPr>
          <w:rFonts w:ascii="Courier New" w:hAnsi="Courier New"/>
          <w:sz w:val="16"/>
        </w:rPr>
        <w:t>open http://localhost:8529</w:t>
      </w:r>
    </w:p>
    <w:p/>
    <w:p>
      <w:r>
        <w:rPr>
          <w:rFonts w:ascii="Courier New" w:hAnsi="Courier New"/>
          <w:sz w:val="16"/>
        </w:rPr>
        <w:t># Open API docs</w:t>
      </w:r>
    </w:p>
    <w:p>
      <w:r>
        <w:rPr>
          <w:rFonts w:ascii="Courier New" w:hAnsi="Courier New"/>
          <w:sz w:val="16"/>
        </w:rPr>
        <w:t>open http://localhost:8528/docs</w:t>
      </w:r>
    </w:p>
    <w:p>
      <w:pPr>
        <w:pStyle w:val="Heading2"/>
      </w:pPr>
      <w:r>
        <w:rPr>
          <w:color w:val="1AAFCC"/>
        </w:rPr>
        <w:t>Demo Environment Checklist</w:t>
      </w:r>
    </w:p>
    <w:p>
      <w:pPr>
        <w:pStyle w:val="ListBullet"/>
      </w:pPr>
      <w:r>
        <w:t>[ ] All 14 collections loaded (check `/collections`)</w:t>
      </w:r>
    </w:p>
    <w:p>
      <w:pPr>
        <w:pStyle w:val="ListBullet"/>
      </w:pPr>
      <w:r>
        <w:t>[ ] Streamlit UI responsive at port 8529</w:t>
      </w:r>
    </w:p>
    <w:p>
      <w:pPr>
        <w:pStyle w:val="ListBullet"/>
      </w:pPr>
      <w:r>
        <w:t>[ ] API health returns "healthy"</w:t>
      </w:r>
    </w:p>
    <w:p>
      <w:pPr>
        <w:pStyle w:val="ListBullet"/>
      </w:pPr>
      <w:r>
        <w:t>[ ] Anthropic API key configured and LLM responding</w:t>
      </w:r>
    </w:p>
    <w:p>
      <w:pPr>
        <w:pStyle w:val="ListBullet"/>
      </w:pPr>
      <w:r>
        <w:t>[ ] Browser tabs ready for Streamlit UI and API docs</w:t>
      </w:r>
    </w:p>
    <w:p>
      <w:pPr>
        <w:pStyle w:val="ListBullet"/>
      </w:pPr>
      <w:r>
        <w:t>[ ] Fallback slides prepared</w:t>
      </w:r>
    </w:p>
    <w:p>
      <w:pPr>
        <w:pStyle w:val="Heading1"/>
      </w:pPr>
      <w:r>
        <w:rPr>
          <w:color w:val="1B2333"/>
        </w:rPr>
        <w:t>Demo Scenario 1: Acute Stroke Triage</w:t>
      </w:r>
    </w:p>
    <w:p>
      <w:r/>
      <w:r>
        <w:rPr>
          <w:b/>
        </w:rPr>
        <w:t>Clinical Setup:</w:t>
      </w:r>
      <w:r>
        <w:t xml:space="preserve"> Emergency department. 72-year-old woman presents with sudden-onset left-sided weakness and speech difficulty. Last known well 2 hours ago. CT head negative for hemorrhage. CTA shows right M1 MCA occlusion.</w:t>
      </w:r>
    </w:p>
    <w:p>
      <w:pPr>
        <w:pStyle w:val="Heading2"/>
      </w:pPr>
      <w:r>
        <w:rPr>
          <w:color w:val="1AAFCC"/>
        </w:rPr>
        <w:t>Step 1: Calculate NIHSS</w:t>
      </w:r>
    </w:p>
    <w:p>
      <w:r>
        <w:t>Via API:</w:t>
      </w:r>
    </w:p>
    <w:p>
      <w:r>
        <w:rPr>
          <w:rFonts w:ascii="Courier New" w:hAnsi="Courier New"/>
          <w:sz w:val="16"/>
        </w:rPr>
        <w:t>curl -X POST http://localhost:8528/v1/neuro/scale/calculate \</w:t>
      </w:r>
    </w:p>
    <w:p>
      <w:r>
        <w:rPr>
          <w:rFonts w:ascii="Courier New" w:hAnsi="Courier New"/>
          <w:sz w:val="16"/>
        </w:rPr>
        <w:t xml:space="preserve">  -H "Content-Type: application/json" \</w:t>
      </w:r>
    </w:p>
    <w:p>
      <w:r>
        <w:rPr>
          <w:rFonts w:ascii="Courier New" w:hAnsi="Courier New"/>
          <w:sz w:val="16"/>
        </w:rPr>
        <w:t xml:space="preserve">  -d '{</w:t>
      </w:r>
    </w:p>
    <w:p>
      <w:r>
        <w:rPr>
          <w:rFonts w:ascii="Courier New" w:hAnsi="Courier New"/>
          <w:sz w:val="16"/>
        </w:rPr>
        <w:t xml:space="preserve">    "scale_type": "nihss",</w:t>
      </w:r>
    </w:p>
    <w:p>
      <w:r>
        <w:rPr>
          <w:rFonts w:ascii="Courier New" w:hAnsi="Courier New"/>
          <w:sz w:val="16"/>
        </w:rPr>
        <w:t xml:space="preserve">    "scores": {</w:t>
      </w:r>
    </w:p>
    <w:p>
      <w:r>
        <w:rPr>
          <w:rFonts w:ascii="Courier New" w:hAnsi="Courier New"/>
          <w:sz w:val="16"/>
        </w:rPr>
        <w:t xml:space="preserve">      "1a_loc": 0,</w:t>
      </w:r>
    </w:p>
    <w:p>
      <w:r>
        <w:rPr>
          <w:rFonts w:ascii="Courier New" w:hAnsi="Courier New"/>
          <w:sz w:val="16"/>
        </w:rPr>
        <w:t xml:space="preserve">      "1b_loc_questions": 1,</w:t>
      </w:r>
    </w:p>
    <w:p>
      <w:r>
        <w:rPr>
          <w:rFonts w:ascii="Courier New" w:hAnsi="Courier New"/>
          <w:sz w:val="16"/>
        </w:rPr>
        <w:t xml:space="preserve">      "1c_loc_commands": 0,</w:t>
      </w:r>
    </w:p>
    <w:p>
      <w:r>
        <w:rPr>
          <w:rFonts w:ascii="Courier New" w:hAnsi="Courier New"/>
          <w:sz w:val="16"/>
        </w:rPr>
        <w:t xml:space="preserve">      "2_gaze": 1,</w:t>
      </w:r>
    </w:p>
    <w:p>
      <w:r>
        <w:rPr>
          <w:rFonts w:ascii="Courier New" w:hAnsi="Courier New"/>
          <w:sz w:val="16"/>
        </w:rPr>
        <w:t xml:space="preserve">      "3_visual": 2,</w:t>
      </w:r>
    </w:p>
    <w:p>
      <w:r>
        <w:rPr>
          <w:rFonts w:ascii="Courier New" w:hAnsi="Courier New"/>
          <w:sz w:val="16"/>
        </w:rPr>
        <w:t xml:space="preserve">      "4_facial": 2,</w:t>
      </w:r>
    </w:p>
    <w:p>
      <w:r>
        <w:rPr>
          <w:rFonts w:ascii="Courier New" w:hAnsi="Courier New"/>
          <w:sz w:val="16"/>
        </w:rPr>
        <w:t xml:space="preserve">      "5a_left_arm": 4,</w:t>
      </w:r>
    </w:p>
    <w:p>
      <w:r>
        <w:rPr>
          <w:rFonts w:ascii="Courier New" w:hAnsi="Courier New"/>
          <w:sz w:val="16"/>
        </w:rPr>
        <w:t xml:space="preserve">      "5b_right_arm": 0,</w:t>
      </w:r>
    </w:p>
    <w:p>
      <w:r>
        <w:rPr>
          <w:rFonts w:ascii="Courier New" w:hAnsi="Courier New"/>
          <w:sz w:val="16"/>
        </w:rPr>
        <w:t xml:space="preserve">      "6a_left_leg": 3,</w:t>
      </w:r>
    </w:p>
    <w:p>
      <w:r>
        <w:rPr>
          <w:rFonts w:ascii="Courier New" w:hAnsi="Courier New"/>
          <w:sz w:val="16"/>
        </w:rPr>
        <w:t xml:space="preserve">      "6b_right_leg": 0,</w:t>
      </w:r>
    </w:p>
    <w:p>
      <w:r>
        <w:rPr>
          <w:rFonts w:ascii="Courier New" w:hAnsi="Courier New"/>
          <w:sz w:val="16"/>
        </w:rPr>
        <w:t xml:space="preserve">      "7_ataxia": 0,</w:t>
      </w:r>
    </w:p>
    <w:p>
      <w:r>
        <w:rPr>
          <w:rFonts w:ascii="Courier New" w:hAnsi="Courier New"/>
          <w:sz w:val="16"/>
        </w:rPr>
        <w:t xml:space="preserve">      "8_sensory": 1,</w:t>
      </w:r>
    </w:p>
    <w:p>
      <w:r>
        <w:rPr>
          <w:rFonts w:ascii="Courier New" w:hAnsi="Courier New"/>
          <w:sz w:val="16"/>
        </w:rPr>
        <w:t xml:space="preserve">      "9_language": 2,</w:t>
      </w:r>
    </w:p>
    <w:p>
      <w:r>
        <w:rPr>
          <w:rFonts w:ascii="Courier New" w:hAnsi="Courier New"/>
          <w:sz w:val="16"/>
        </w:rPr>
        <w:t xml:space="preserve">      "10_dysarthria": 2,</w:t>
      </w:r>
    </w:p>
    <w:p>
      <w:r>
        <w:rPr>
          <w:rFonts w:ascii="Courier New" w:hAnsi="Courier New"/>
          <w:sz w:val="16"/>
        </w:rPr>
        <w:t xml:space="preserve">      "11_extinction": 1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rPr>
          <w:rFonts w:ascii="Courier New" w:hAnsi="Courier New"/>
          <w:sz w:val="16"/>
        </w:rPr>
        <w:t xml:space="preserve">  }'</w:t>
      </w:r>
    </w:p>
    <w:p>
      <w:r/>
      <w:r>
        <w:rPr>
          <w:b/>
        </w:rPr>
        <w:t>Expected output:</w:t>
      </w:r>
      <w:r>
        <w:t xml:space="preserve"> NIHSS = 19 (Moderate-to-severe stroke). Recommendations: IV alteplase, CTA for LVO evaluation, consider mechanical thrombectomy.</w:t>
      </w:r>
    </w:p>
    <w:p>
      <w:pPr>
        <w:pStyle w:val="Heading2"/>
      </w:pPr>
      <w:r>
        <w:rPr>
          <w:color w:val="1AAFCC"/>
        </w:rPr>
        <w:t>Step 2: Calculate ASPECTS</w:t>
      </w:r>
    </w:p>
    <w:p>
      <w:r>
        <w:rPr>
          <w:rFonts w:ascii="Courier New" w:hAnsi="Courier New"/>
          <w:sz w:val="16"/>
        </w:rPr>
        <w:t>curl -X POST http://localhost:8528/v1/neuro/scale/calculate \</w:t>
      </w:r>
    </w:p>
    <w:p>
      <w:r>
        <w:rPr>
          <w:rFonts w:ascii="Courier New" w:hAnsi="Courier New"/>
          <w:sz w:val="16"/>
        </w:rPr>
        <w:t xml:space="preserve">  -H "Content-Type: application/json" \</w:t>
      </w:r>
    </w:p>
    <w:p>
      <w:r>
        <w:rPr>
          <w:rFonts w:ascii="Courier New" w:hAnsi="Courier New"/>
          <w:sz w:val="16"/>
        </w:rPr>
        <w:t xml:space="preserve">  -d '{</w:t>
      </w:r>
    </w:p>
    <w:p>
      <w:r>
        <w:rPr>
          <w:rFonts w:ascii="Courier New" w:hAnsi="Courier New"/>
          <w:sz w:val="16"/>
        </w:rPr>
        <w:t xml:space="preserve">    "scale_type": "aspects",</w:t>
      </w:r>
    </w:p>
    <w:p>
      <w:r>
        <w:rPr>
          <w:rFonts w:ascii="Courier New" w:hAnsi="Courier New"/>
          <w:sz w:val="16"/>
        </w:rPr>
        <w:t xml:space="preserve">    "affected_regions": ["I", "M2"]</w:t>
      </w:r>
    </w:p>
    <w:p>
      <w:r>
        <w:rPr>
          <w:rFonts w:ascii="Courier New" w:hAnsi="Courier New"/>
          <w:sz w:val="16"/>
        </w:rPr>
        <w:t xml:space="preserve">  }'</w:t>
      </w:r>
    </w:p>
    <w:p>
      <w:r/>
      <w:r>
        <w:rPr>
          <w:b/>
        </w:rPr>
        <w:t>Expected output:</w:t>
      </w:r>
      <w:r>
        <w:t xml:space="preserve"> ASPECTS = 8/10 (Favorable for intervention). Two regions with early ischemic change.</w:t>
      </w:r>
    </w:p>
    <w:p>
      <w:pPr>
        <w:pStyle w:val="Heading2"/>
      </w:pPr>
      <w:r>
        <w:rPr>
          <w:color w:val="1AAFCC"/>
        </w:rPr>
        <w:t>Step 3: Run Stroke Triage Workflow</w:t>
      </w:r>
    </w:p>
    <w:p>
      <w:r>
        <w:t>Via Streamlit: Type the following query:</w:t>
      </w:r>
    </w:p>
    <w:p>
      <w:r>
        <w:t>&gt; "72-year-old woman with acute left hemiparesis and aphasia, NIHSS 19, last known well 2 hours ago, CT negative for hemorrhage, CTA showing right M1 MCA occlusion. ASPECTS 8. Is she eligible for tPA and thrombectomy?"</w:t>
      </w:r>
    </w:p>
    <w:p>
      <w:r/>
      <w:r>
        <w:rPr>
          <w:b/>
        </w:rPr>
        <w:t>Demo talking points:</w:t>
      </w:r>
      <w:r/>
    </w:p>
    <w:p>
      <w:pPr>
        <w:pStyle w:val="ListBullet"/>
      </w:pPr>
      <w:r>
        <w:t>NIHSS 19 indicates moderate-to-severe stroke -- tPA strongly recommended</w:t>
      </w:r>
    </w:p>
    <w:p>
      <w:pPr>
        <w:pStyle w:val="ListBullet"/>
      </w:pPr>
      <w:r>
        <w:t>Within 4.5-hour window -- tPA eligible (no contraindications mentioned)</w:t>
      </w:r>
    </w:p>
    <w:p>
      <w:pPr>
        <w:pStyle w:val="ListBullet"/>
      </w:pPr>
      <w:r>
        <w:t>M1 occlusion with ASPECTS &gt;= 6 -- thrombectomy indicated</w:t>
      </w:r>
    </w:p>
    <w:p>
      <w:pPr>
        <w:pStyle w:val="ListBullet"/>
      </w:pPr>
      <w:r>
        <w:t>Door-to-needle target: &lt; 60 minutes for tPA</w:t>
      </w:r>
    </w:p>
    <w:p>
      <w:pPr>
        <w:pStyle w:val="ListBullet"/>
      </w:pPr>
      <w:r>
        <w:t>Door-to-groin target: &lt; 90 minutes for thrombectomy</w:t>
      </w:r>
    </w:p>
    <w:p>
      <w:pPr>
        <w:pStyle w:val="ListBullet"/>
      </w:pPr>
      <w:r>
        <w:t>Agent cites AHA/ASA 2019 guidelines and DAWN/DEFUSE-3 trial criteria</w:t>
      </w:r>
    </w:p>
    <w:p>
      <w:pPr>
        <w:pStyle w:val="Heading1"/>
      </w:pPr>
      <w:r>
        <w:rPr>
          <w:color w:val="1B2333"/>
        </w:rPr>
        <w:t>Demo Scenario 2: Memory Clinic -- Alzheimer's Evaluation</w:t>
      </w:r>
    </w:p>
    <w:p>
      <w:r/>
      <w:r>
        <w:rPr>
          <w:b/>
        </w:rPr>
        <w:t>Clinical Setup:</w:t>
      </w:r>
      <w:r>
        <w:t xml:space="preserve"> Outpatient memory clinic. 68-year-old man with 18 months of progressive memory loss. Retired professor. Wife reports word-finding difficulty and getting lost while driving.</w:t>
      </w:r>
    </w:p>
    <w:p>
      <w:pPr>
        <w:pStyle w:val="Heading2"/>
      </w:pPr>
      <w:r>
        <w:rPr>
          <w:color w:val="1AAFCC"/>
        </w:rPr>
        <w:t>Step 1: Calculate MoCA</w:t>
      </w:r>
    </w:p>
    <w:p>
      <w:r>
        <w:rPr>
          <w:rFonts w:ascii="Courier New" w:hAnsi="Courier New"/>
          <w:sz w:val="16"/>
        </w:rPr>
        <w:t>curl -X POST http://localhost:8528/v1/neuro/scale/calculate \</w:t>
      </w:r>
    </w:p>
    <w:p>
      <w:r>
        <w:rPr>
          <w:rFonts w:ascii="Courier New" w:hAnsi="Courier New"/>
          <w:sz w:val="16"/>
        </w:rPr>
        <w:t xml:space="preserve">  -H "Content-Type: application/json" \</w:t>
      </w:r>
    </w:p>
    <w:p>
      <w:r>
        <w:rPr>
          <w:rFonts w:ascii="Courier New" w:hAnsi="Courier New"/>
          <w:sz w:val="16"/>
        </w:rPr>
        <w:t xml:space="preserve">  -d '{</w:t>
      </w:r>
    </w:p>
    <w:p>
      <w:r>
        <w:rPr>
          <w:rFonts w:ascii="Courier New" w:hAnsi="Courier New"/>
          <w:sz w:val="16"/>
        </w:rPr>
        <w:t xml:space="preserve">    "scale_type": "moca",</w:t>
      </w:r>
    </w:p>
    <w:p>
      <w:r>
        <w:rPr>
          <w:rFonts w:ascii="Courier New" w:hAnsi="Courier New"/>
          <w:sz w:val="16"/>
        </w:rPr>
        <w:t xml:space="preserve">    "domain_scores": {</w:t>
      </w:r>
    </w:p>
    <w:p>
      <w:r>
        <w:rPr>
          <w:rFonts w:ascii="Courier New" w:hAnsi="Courier New"/>
          <w:sz w:val="16"/>
        </w:rPr>
        <w:t xml:space="preserve">      "visuospatial": 3,</w:t>
      </w:r>
    </w:p>
    <w:p>
      <w:r>
        <w:rPr>
          <w:rFonts w:ascii="Courier New" w:hAnsi="Courier New"/>
          <w:sz w:val="16"/>
        </w:rPr>
        <w:t xml:space="preserve">      "naming": 3,</w:t>
      </w:r>
    </w:p>
    <w:p>
      <w:r>
        <w:rPr>
          <w:rFonts w:ascii="Courier New" w:hAnsi="Courier New"/>
          <w:sz w:val="16"/>
        </w:rPr>
        <w:t xml:space="preserve">      "attention": 4,</w:t>
      </w:r>
    </w:p>
    <w:p>
      <w:r>
        <w:rPr>
          <w:rFonts w:ascii="Courier New" w:hAnsi="Courier New"/>
          <w:sz w:val="16"/>
        </w:rPr>
        <w:t xml:space="preserve">      "language": 2,</w:t>
      </w:r>
    </w:p>
    <w:p>
      <w:r>
        <w:rPr>
          <w:rFonts w:ascii="Courier New" w:hAnsi="Courier New"/>
          <w:sz w:val="16"/>
        </w:rPr>
        <w:t xml:space="preserve">      "abstraction": 1,</w:t>
      </w:r>
    </w:p>
    <w:p>
      <w:r>
        <w:rPr>
          <w:rFonts w:ascii="Courier New" w:hAnsi="Courier New"/>
          <w:sz w:val="16"/>
        </w:rPr>
        <w:t xml:space="preserve">      "delayed_recall": 1,</w:t>
      </w:r>
    </w:p>
    <w:p>
      <w:r>
        <w:rPr>
          <w:rFonts w:ascii="Courier New" w:hAnsi="Courier New"/>
          <w:sz w:val="16"/>
        </w:rPr>
        <w:t xml:space="preserve">      "orientation": 6</w:t>
      </w:r>
    </w:p>
    <w:p>
      <w:r>
        <w:rPr>
          <w:rFonts w:ascii="Courier New" w:hAnsi="Courier New"/>
          <w:sz w:val="16"/>
        </w:rPr>
        <w:t xml:space="preserve">    },</w:t>
      </w:r>
    </w:p>
    <w:p>
      <w:r>
        <w:rPr>
          <w:rFonts w:ascii="Courier New" w:hAnsi="Courier New"/>
          <w:sz w:val="16"/>
        </w:rPr>
        <w:t xml:space="preserve">    "education_years": 20</w:t>
      </w:r>
    </w:p>
    <w:p>
      <w:r>
        <w:rPr>
          <w:rFonts w:ascii="Courier New" w:hAnsi="Courier New"/>
          <w:sz w:val="16"/>
        </w:rPr>
        <w:t xml:space="preserve">  }'</w:t>
      </w:r>
    </w:p>
    <w:p>
      <w:r/>
      <w:r>
        <w:rPr>
          <w:b/>
        </w:rPr>
        <w:t>Expected output:</w:t>
      </w:r>
      <w:r>
        <w:t xml:space="preserve"> MoCA = 20/30 (Mild cognitive impairment). Notably impaired: delayed_recall, abstraction. Recommendations: neuropsychological testing, structural MRI, consider amyloid PET or CSF biomarkers.</w:t>
      </w:r>
    </w:p>
    <w:p>
      <w:pPr>
        <w:pStyle w:val="Heading2"/>
      </w:pPr>
      <w:r>
        <w:rPr>
          <w:color w:val="1AAFCC"/>
        </w:rPr>
        <w:t>Step 2: Query Dementia Evaluation</w:t>
      </w:r>
    </w:p>
    <w:p>
      <w:r>
        <w:t>Via Streamlit:</w:t>
      </w:r>
    </w:p>
    <w:p>
      <w:r>
        <w:t>&gt; "68-year-old man with 18 months progressive memory loss, MoCA 20/30 with impaired delayed recall and abstraction. APOE e3/e4 genotype. MRI shows mild bilateral hippocampal atrophy. What is the ATN staging and is he a candidate for anti-amyloid therapy?"</w:t>
      </w:r>
    </w:p>
    <w:p>
      <w:r/>
      <w:r>
        <w:rPr>
          <w:b/>
        </w:rPr>
        <w:t>Demo talking points:</w:t>
      </w:r>
      <w:r/>
    </w:p>
    <w:p>
      <w:pPr>
        <w:pStyle w:val="ListBullet"/>
      </w:pPr>
      <w:r>
        <w:t>MoCA 20 suggests MCI-to-mild dementia range</w:t>
      </w:r>
    </w:p>
    <w:p>
      <w:pPr>
        <w:pStyle w:val="ListBullet"/>
      </w:pPr>
      <w:r>
        <w:t>APOE e3/e4 increases AD risk (3x vs e3/e3)</w:t>
      </w:r>
    </w:p>
    <w:p>
      <w:pPr>
        <w:pStyle w:val="ListBullet"/>
      </w:pPr>
      <w:r>
        <w:t>Hippocampal atrophy suggests neurodegeneration (N+)</w:t>
      </w:r>
    </w:p>
    <w:p>
      <w:pPr>
        <w:pStyle w:val="ListBullet"/>
      </w:pPr>
      <w:r>
        <w:t>Recommend amyloid PET or CSF Abeta42/p-tau to determine A and T status</w:t>
      </w:r>
    </w:p>
    <w:p>
      <w:pPr>
        <w:pStyle w:val="ListBullet"/>
      </w:pPr>
      <w:r>
        <w:t>If A+T+, patient may be candidate for lecanemab (CLARITY AD trial criteria: MoCA 18-26, amyloid-positive)</w:t>
      </w:r>
    </w:p>
    <w:p>
      <w:pPr>
        <w:pStyle w:val="ListBullet"/>
      </w:pPr>
      <w:r>
        <w:t>Agent generates differential: AD most likely, but consider DLB, vascular, FTD</w:t>
      </w:r>
    </w:p>
    <w:p>
      <w:pPr>
        <w:pStyle w:val="Heading1"/>
      </w:pPr>
      <w:r>
        <w:rPr>
          <w:color w:val="1B2333"/>
        </w:rPr>
        <w:t>Demo Scenario 3: Drug-Resistant Epilepsy</w:t>
      </w:r>
    </w:p>
    <w:p>
      <w:r/>
      <w:r>
        <w:rPr>
          <w:b/>
        </w:rPr>
        <w:t>Clinical Setup:</w:t>
      </w:r>
      <w:r>
        <w:t xml:space="preserve"> Epilepsy clinic. 28-year-old woman with temporal lobe epilepsy since age 14. Failed levetiracetam, lamotrigine, and carbamazepine. Seizure frequency: 4-6 focal impaired awareness seizures per month.</w:t>
      </w:r>
    </w:p>
    <w:p>
      <w:pPr>
        <w:pStyle w:val="Heading2"/>
      </w:pPr>
      <w:r>
        <w:rPr>
          <w:color w:val="1AAFCC"/>
        </w:rPr>
        <w:t>Step 1: Query Epilepsy Classification</w:t>
      </w:r>
    </w:p>
    <w:p>
      <w:r>
        <w:t>Via Streamlit:</w:t>
      </w:r>
    </w:p>
    <w:p>
      <w:r>
        <w:t>&gt; "28-year-old woman with drug-resistant temporal lobe epilepsy. EEG shows right anterior temporal sharp waves and TIRDA. MRI shows right mesial temporal sclerosis. Failed levetiracetam, lamotrigine, and carbamazepine. 4-6 focal impaired awareness seizures per month with deja vu aura and oral automatisms. Is she a surgical candidate?"</w:t>
      </w:r>
    </w:p>
    <w:p>
      <w:r/>
      <w:r>
        <w:rPr>
          <w:b/>
        </w:rPr>
        <w:t>Demo talking points:</w:t>
      </w:r>
      <w:r/>
    </w:p>
    <w:p>
      <w:pPr>
        <w:pStyle w:val="ListBullet"/>
      </w:pPr>
      <w:r>
        <w:t>Meets ILAE definition of drug-resistant epilepsy (failed 2+ appropriate ASMs)</w:t>
      </w:r>
    </w:p>
    <w:p>
      <w:pPr>
        <w:pStyle w:val="ListBullet"/>
      </w:pPr>
      <w:r>
        <w:t>TLE with hippocampal sclerosis is the most surgically remediable epilepsy syndrome</w:t>
      </w:r>
    </w:p>
    <w:p>
      <w:pPr>
        <w:pStyle w:val="ListBullet"/>
      </w:pPr>
      <w:r>
        <w:t>EEG-MRI concordance (right temporal spikes + right MTS) is favorable for surgery</w:t>
      </w:r>
    </w:p>
    <w:p>
      <w:pPr>
        <w:pStyle w:val="ListBullet"/>
      </w:pPr>
      <w:r>
        <w:t>Anterior temporal lobectomy offers 60-80% seizure freedom rate</w:t>
      </w:r>
    </w:p>
    <w:p>
      <w:pPr>
        <w:pStyle w:val="ListBullet"/>
      </w:pPr>
      <w:r>
        <w:t>Additional pre-surgical workup: video-EEG monitoring, neuropsychological testing, Wada test</w:t>
      </w:r>
    </w:p>
    <w:p>
      <w:pPr>
        <w:pStyle w:val="ListBullet"/>
      </w:pPr>
      <w:r>
        <w:t>Alternative: LITT (laser interstitial thermal therapy) or RNS</w:t>
      </w:r>
    </w:p>
    <w:p>
      <w:pPr>
        <w:pStyle w:val="ListBullet"/>
      </w:pPr>
      <w:r>
        <w:t>Agent identifies contraindicated ASMs for other syndromes (educational contrast)</w:t>
      </w:r>
    </w:p>
    <w:p>
      <w:pPr>
        <w:pStyle w:val="Heading2"/>
      </w:pPr>
      <w:r>
        <w:rPr>
          <w:color w:val="1AAFCC"/>
        </w:rPr>
        <w:t>Step 2: Scale Calculators (Show Flexibility)</w:t>
      </w:r>
    </w:p>
    <w:p>
      <w:r>
        <w:t>Demonstrate other scale calculators to show breadth:</w:t>
      </w:r>
    </w:p>
    <w:p>
      <w:r>
        <w:rPr>
          <w:rFonts w:ascii="Courier New" w:hAnsi="Courier New"/>
          <w:sz w:val="16"/>
        </w:rPr>
        <w:t># ALSFRS-R for ALS patient</w:t>
      </w:r>
    </w:p>
    <w:p>
      <w:r>
        <w:rPr>
          <w:rFonts w:ascii="Courier New" w:hAnsi="Courier New"/>
          <w:sz w:val="16"/>
        </w:rPr>
        <w:t>curl -X POST http://localhost:8528/v1/neuro/scale/calculate \</w:t>
      </w:r>
    </w:p>
    <w:p>
      <w:r>
        <w:rPr>
          <w:rFonts w:ascii="Courier New" w:hAnsi="Courier New"/>
          <w:sz w:val="16"/>
        </w:rPr>
        <w:t xml:space="preserve">  -H "Content-Type: application/json" \</w:t>
      </w:r>
    </w:p>
    <w:p>
      <w:r>
        <w:rPr>
          <w:rFonts w:ascii="Courier New" w:hAnsi="Courier New"/>
          <w:sz w:val="16"/>
        </w:rPr>
        <w:t xml:space="preserve">  -d '{</w:t>
      </w:r>
    </w:p>
    <w:p>
      <w:r>
        <w:rPr>
          <w:rFonts w:ascii="Courier New" w:hAnsi="Courier New"/>
          <w:sz w:val="16"/>
        </w:rPr>
        <w:t xml:space="preserve">    "scale_type": "alsfrs_r",</w:t>
      </w:r>
    </w:p>
    <w:p>
      <w:r>
        <w:rPr>
          <w:rFonts w:ascii="Courier New" w:hAnsi="Courier New"/>
          <w:sz w:val="16"/>
        </w:rPr>
        <w:t xml:space="preserve">    "scores": {</w:t>
      </w:r>
    </w:p>
    <w:p>
      <w:r>
        <w:rPr>
          <w:rFonts w:ascii="Courier New" w:hAnsi="Courier New"/>
          <w:sz w:val="16"/>
        </w:rPr>
        <w:t xml:space="preserve">      "speech": 3, "salivation": 3, "swallowing": 3,</w:t>
      </w:r>
    </w:p>
    <w:p>
      <w:r>
        <w:rPr>
          <w:rFonts w:ascii="Courier New" w:hAnsi="Courier New"/>
          <w:sz w:val="16"/>
        </w:rPr>
        <w:t xml:space="preserve">      "handwriting": 2, "cutting_food": 2, "dressing_hygiene": 2,</w:t>
      </w:r>
    </w:p>
    <w:p>
      <w:r>
        <w:rPr>
          <w:rFonts w:ascii="Courier New" w:hAnsi="Courier New"/>
          <w:sz w:val="16"/>
        </w:rPr>
        <w:t xml:space="preserve">      "turning_in_bed": 3, "walking": 2, "climbing_stairs": 1,</w:t>
      </w:r>
    </w:p>
    <w:p>
      <w:r>
        <w:rPr>
          <w:rFonts w:ascii="Courier New" w:hAnsi="Courier New"/>
          <w:sz w:val="16"/>
        </w:rPr>
        <w:t xml:space="preserve">      "dyspnea": 3, "orthopnea": 3, "respiratory_insufficiency": 3</w:t>
      </w:r>
    </w:p>
    <w:p>
      <w:r>
        <w:rPr>
          <w:rFonts w:ascii="Courier New" w:hAnsi="Courier New"/>
          <w:sz w:val="16"/>
        </w:rPr>
        <w:t xml:space="preserve">    },</w:t>
      </w:r>
    </w:p>
    <w:p>
      <w:r>
        <w:rPr>
          <w:rFonts w:ascii="Courier New" w:hAnsi="Courier New"/>
          <w:sz w:val="16"/>
        </w:rPr>
        <w:t xml:space="preserve">    "months_since_onset": 12</w:t>
      </w:r>
    </w:p>
    <w:p>
      <w:r>
        <w:rPr>
          <w:rFonts w:ascii="Courier New" w:hAnsi="Courier New"/>
          <w:sz w:val="16"/>
        </w:rPr>
        <w:t xml:space="preserve">  }'</w:t>
      </w:r>
    </w:p>
    <w:p>
      <w:pPr>
        <w:pStyle w:val="Heading1"/>
      </w:pPr>
      <w:r>
        <w:rPr>
          <w:color w:val="1B2333"/>
        </w:rPr>
        <w:t>Demo Scenario 4: New Brain Mass</w:t>
      </w:r>
    </w:p>
    <w:p>
      <w:r/>
      <w:r>
        <w:rPr>
          <w:b/>
        </w:rPr>
        <w:t>Clinical Setup:</w:t>
      </w:r>
      <w:r>
        <w:t xml:space="preserve"> Neurosurgery referral. 55-year-old man with 3-week history of progressive headache, new-onset seizure. MRI shows 4 cm ring-enhancing left temporal lobe mass with surrounding edema.</w:t>
      </w:r>
    </w:p>
    <w:p>
      <w:pPr>
        <w:pStyle w:val="Heading2"/>
      </w:pPr>
      <w:r>
        <w:rPr>
          <w:color w:val="1AAFCC"/>
        </w:rPr>
        <w:t>Step 1: Query Brain Tumor Evaluation</w:t>
      </w:r>
    </w:p>
    <w:p>
      <w:r>
        <w:t>Via Streamlit:</w:t>
      </w:r>
    </w:p>
    <w:p>
      <w:r>
        <w:t>&gt; "55-year-old man with new-onset seizure, progressive headache. MRI shows 4 cm ring-enhancing mass in left temporal lobe with significant vasogenic edema and midline shift. What is the differential diagnosis and what molecular workup is needed?"</w:t>
      </w:r>
    </w:p>
    <w:p>
      <w:r/>
      <w:r>
        <w:rPr>
          <w:b/>
        </w:rPr>
        <w:t>Demo talking points:</w:t>
      </w:r>
      <w:r/>
    </w:p>
    <w:p>
      <w:pPr>
        <w:pStyle w:val="ListBullet"/>
      </w:pPr>
      <w:r>
        <w:t>Top differential: glioblastoma (IDH-wildtype), brain metastasis, CNS lymphoma, abscess</w:t>
      </w:r>
    </w:p>
    <w:p>
      <w:pPr>
        <w:pStyle w:val="ListBullet"/>
      </w:pPr>
      <w:r>
        <w:t>Critical molecular markers to determine: IDH mutation status, MGMT methylation, TERT promoter, EGFR amplification</w:t>
      </w:r>
    </w:p>
    <w:p>
      <w:pPr>
        <w:pStyle w:val="ListBullet"/>
      </w:pPr>
      <w:r>
        <w:t>WHO 2021 classification requires integrated molecular diagnosis</w:t>
      </w:r>
    </w:p>
    <w:p>
      <w:pPr>
        <w:pStyle w:val="ListBullet"/>
      </w:pPr>
      <w:r>
        <w:t>If GBM (IDH-wt): Stupp protocol (maximal safe resection + RT 60 Gy + temozolomide + TTFields)</w:t>
      </w:r>
    </w:p>
    <w:p>
      <w:pPr>
        <w:pStyle w:val="ListBullet"/>
      </w:pPr>
      <w:r>
        <w:t>If IDH-mutant astrocytoma: different prognosis and treatment approach</w:t>
      </w:r>
    </w:p>
    <w:p>
      <w:pPr>
        <w:pStyle w:val="ListBullet"/>
      </w:pPr>
      <w:r>
        <w:t>MGMT methylation predicts temozolomide response</w:t>
      </w:r>
    </w:p>
    <w:p>
      <w:pPr>
        <w:pStyle w:val="ListBullet"/>
      </w:pPr>
      <w:r>
        <w:t>Agent cites NCCN CNS guidelines and WHO 2021 classification</w:t>
      </w:r>
    </w:p>
    <w:p>
      <w:pPr>
        <w:pStyle w:val="Heading1"/>
      </w:pPr>
      <w:r>
        <w:rPr>
          <w:color w:val="1B2333"/>
        </w:rPr>
        <w:t>Demo Scenario 5: MS Disease Monitoring</w:t>
      </w:r>
    </w:p>
    <w:p>
      <w:r/>
      <w:r>
        <w:rPr>
          <w:b/>
        </w:rPr>
        <w:t>Clinical Setup:</w:t>
      </w:r>
      <w:r>
        <w:t xml:space="preserve"> MS clinic follow-up. 34-year-old woman with RRMS diagnosed 3 years ago. On dimethyl fumarate (Tecfidera). New MRI shows 3 new T2 lesions and 1 Gd-enhancing lesion. EDSS 3.0.</w:t>
      </w:r>
    </w:p>
    <w:p>
      <w:pPr>
        <w:pStyle w:val="Heading2"/>
      </w:pPr>
      <w:r>
        <w:rPr>
          <w:color w:val="1AAFCC"/>
        </w:rPr>
        <w:t>Step 1: Calculate EDSS</w:t>
      </w:r>
    </w:p>
    <w:p>
      <w:r>
        <w:rPr>
          <w:rFonts w:ascii="Courier New" w:hAnsi="Courier New"/>
          <w:sz w:val="16"/>
        </w:rPr>
        <w:t>curl -X POST http://localhost:8528/v1/neuro/scale/calculate \</w:t>
      </w:r>
    </w:p>
    <w:p>
      <w:r>
        <w:rPr>
          <w:rFonts w:ascii="Courier New" w:hAnsi="Courier New"/>
          <w:sz w:val="16"/>
        </w:rPr>
        <w:t xml:space="preserve">  -H "Content-Type: application/json" \</w:t>
      </w:r>
    </w:p>
    <w:p>
      <w:r>
        <w:rPr>
          <w:rFonts w:ascii="Courier New" w:hAnsi="Courier New"/>
          <w:sz w:val="16"/>
        </w:rPr>
        <w:t xml:space="preserve">  -d '{</w:t>
      </w:r>
    </w:p>
    <w:p>
      <w:r>
        <w:rPr>
          <w:rFonts w:ascii="Courier New" w:hAnsi="Courier New"/>
          <w:sz w:val="16"/>
        </w:rPr>
        <w:t xml:space="preserve">    "scale_type": "edss",</w:t>
      </w:r>
    </w:p>
    <w:p>
      <w:r>
        <w:rPr>
          <w:rFonts w:ascii="Courier New" w:hAnsi="Courier New"/>
          <w:sz w:val="16"/>
        </w:rPr>
        <w:t xml:space="preserve">    "fs_scores": {</w:t>
      </w:r>
    </w:p>
    <w:p>
      <w:r>
        <w:rPr>
          <w:rFonts w:ascii="Courier New" w:hAnsi="Courier New"/>
          <w:sz w:val="16"/>
        </w:rPr>
        <w:t xml:space="preserve">      "visual": 0,</w:t>
      </w:r>
    </w:p>
    <w:p>
      <w:r>
        <w:rPr>
          <w:rFonts w:ascii="Courier New" w:hAnsi="Courier New"/>
          <w:sz w:val="16"/>
        </w:rPr>
        <w:t xml:space="preserve">      "brainstem": 1,</w:t>
      </w:r>
    </w:p>
    <w:p>
      <w:r>
        <w:rPr>
          <w:rFonts w:ascii="Courier New" w:hAnsi="Courier New"/>
          <w:sz w:val="16"/>
        </w:rPr>
        <w:t xml:space="preserve">      "pyramidal": 3,</w:t>
      </w:r>
    </w:p>
    <w:p>
      <w:r>
        <w:rPr>
          <w:rFonts w:ascii="Courier New" w:hAnsi="Courier New"/>
          <w:sz w:val="16"/>
        </w:rPr>
        <w:t xml:space="preserve">      "cerebellar": 1,</w:t>
      </w:r>
    </w:p>
    <w:p>
      <w:r>
        <w:rPr>
          <w:rFonts w:ascii="Courier New" w:hAnsi="Courier New"/>
          <w:sz w:val="16"/>
        </w:rPr>
        <w:t xml:space="preserve">      "sensory": 2,</w:t>
      </w:r>
    </w:p>
    <w:p>
      <w:r>
        <w:rPr>
          <w:rFonts w:ascii="Courier New" w:hAnsi="Courier New"/>
          <w:sz w:val="16"/>
        </w:rPr>
        <w:t xml:space="preserve">      "bowel_bladder": 0,</w:t>
      </w:r>
    </w:p>
    <w:p>
      <w:r>
        <w:rPr>
          <w:rFonts w:ascii="Courier New" w:hAnsi="Courier New"/>
          <w:sz w:val="16"/>
        </w:rPr>
        <w:t xml:space="preserve">      "cerebral": 0</w:t>
      </w:r>
    </w:p>
    <w:p>
      <w:r>
        <w:rPr>
          <w:rFonts w:ascii="Courier New" w:hAnsi="Courier New"/>
          <w:sz w:val="16"/>
        </w:rPr>
        <w:t xml:space="preserve">    },</w:t>
      </w:r>
    </w:p>
    <w:p>
      <w:r>
        <w:rPr>
          <w:rFonts w:ascii="Courier New" w:hAnsi="Courier New"/>
          <w:sz w:val="16"/>
        </w:rPr>
        <w:t xml:space="preserve">    "edss_step": 3.0</w:t>
      </w:r>
    </w:p>
    <w:p>
      <w:r>
        <w:rPr>
          <w:rFonts w:ascii="Courier New" w:hAnsi="Courier New"/>
          <w:sz w:val="16"/>
        </w:rPr>
        <w:t xml:space="preserve">  }'</w:t>
      </w:r>
    </w:p>
    <w:p>
      <w:pPr>
        <w:pStyle w:val="Heading2"/>
      </w:pPr>
      <w:r>
        <w:rPr>
          <w:color w:val="1AAFCC"/>
        </w:rPr>
        <w:t>Step 2: Query MS Monitoring</w:t>
      </w:r>
    </w:p>
    <w:p>
      <w:r>
        <w:t>Via Streamlit:</w:t>
      </w:r>
    </w:p>
    <w:p>
      <w:r>
        <w:t>&gt; "34-year-old woman with RRMS on dimethyl fumarate for 2 years. New MRI shows 3 new T2 lesions and 1 gadolinium-enhancing lesion. EDSS 3.0. JCV antibody index 0.9. NfL elevated at 28 pg/mL. Should we escalate DMT? What are the options?"</w:t>
      </w:r>
    </w:p>
    <w:p>
      <w:r/>
      <w:r>
        <w:rPr>
          <w:b/>
        </w:rPr>
        <w:t>Demo talking points:</w:t>
      </w:r>
      <w:r/>
    </w:p>
    <w:p>
      <w:pPr>
        <w:pStyle w:val="ListBullet"/>
      </w:pPr>
      <w:r>
        <w:t>NOT meeting NEDA-3: new T2 lesions = disease activity on current DMT</w:t>
      </w:r>
    </w:p>
    <w:p>
      <w:pPr>
        <w:pStyle w:val="ListBullet"/>
      </w:pPr>
      <w:r>
        <w:t>Elevated NfL supports active disease</w:t>
      </w:r>
    </w:p>
    <w:p>
      <w:pPr>
        <w:pStyle w:val="ListBullet"/>
      </w:pPr>
      <w:r>
        <w:t>DMT escalation indicated: switch from moderate to high-efficacy</w:t>
      </w:r>
    </w:p>
    <w:p>
      <w:pPr>
        <w:pStyle w:val="ListBullet"/>
      </w:pPr>
      <w:r>
        <w:t>Options: ocrelizumab (Ocrevus), natalizumab (Tysabri), ofatumumab (Kesimpta)</w:t>
      </w:r>
    </w:p>
    <w:p>
      <w:pPr>
        <w:pStyle w:val="ListBullet"/>
      </w:pPr>
      <w:r>
        <w:t>JCV index 0.9 = moderate PML risk with natalizumab (requires monitoring q6 months)</w:t>
      </w:r>
    </w:p>
    <w:p>
      <w:pPr>
        <w:pStyle w:val="ListBullet"/>
      </w:pPr>
      <w:r>
        <w:t>Ocrelizumab may be preferred given JCV status</w:t>
      </w:r>
    </w:p>
    <w:p>
      <w:pPr>
        <w:pStyle w:val="ListBullet"/>
      </w:pPr>
      <w:r>
        <w:t>Agent explains NEDA-3 criteria and DMT tier classification</w:t>
      </w:r>
    </w:p>
    <w:p>
      <w:pPr>
        <w:pStyle w:val="ListBullet"/>
      </w:pPr>
      <w:r>
        <w:t>Agent cites McDonald 2017 criteria and AAN DMT guidelines</w:t>
      </w:r>
    </w:p>
    <w:p>
      <w:pPr>
        <w:pStyle w:val="Heading1"/>
      </w:pPr>
      <w:r>
        <w:rPr>
          <w:color w:val="1B2333"/>
        </w:rPr>
        <w:t>Demo Tips</w:t>
      </w:r>
    </w:p>
    <w:p>
      <w:r>
        <w:t xml:space="preserve">1. </w:t>
      </w:r>
      <w:r>
        <w:rPr>
          <w:b/>
        </w:rPr>
        <w:t>Start with stroke</w:t>
      </w:r>
      <w:r>
        <w:t xml:space="preserve"> -- most dramatic, time-critical, clear decision points</w:t>
      </w:r>
    </w:p>
    <w:p>
      <w:r>
        <w:t xml:space="preserve">2. </w:t>
      </w:r>
      <w:r>
        <w:rPr>
          <w:b/>
        </w:rPr>
        <w:t>Show scale calculators</w:t>
      </w:r>
      <w:r>
        <w:t xml:space="preserve"> -- they respond instantly and demonstrate clinical accuracy</w:t>
      </w:r>
    </w:p>
    <w:p>
      <w:r>
        <w:t xml:space="preserve">3. </w:t>
      </w:r>
      <w:r>
        <w:rPr>
          <w:b/>
        </w:rPr>
        <w:t>Use the Streamlit UI</w:t>
      </w:r>
      <w:r>
        <w:t xml:space="preserve"> for natural language queries (more engaging for audience)</w:t>
      </w:r>
    </w:p>
    <w:p>
      <w:r>
        <w:t xml:space="preserve">4. </w:t>
      </w:r>
      <w:r>
        <w:rPr>
          <w:b/>
        </w:rPr>
        <w:t>Use the API docs</w:t>
      </w:r>
      <w:r>
        <w:t xml:space="preserve"> (Swagger) to show the full endpoint catalog</w:t>
      </w:r>
    </w:p>
    <w:p>
      <w:r>
        <w:t xml:space="preserve">5. </w:t>
      </w:r>
      <w:r>
        <w:rPr>
          <w:b/>
        </w:rPr>
        <w:t>Highlight cross-collection search</w:t>
      </w:r>
      <w:r>
        <w:t xml:space="preserve"> -- mention the 14 collections being searched in parallel</w:t>
      </w:r>
    </w:p>
    <w:p>
      <w:r>
        <w:t xml:space="preserve">6. </w:t>
      </w:r>
      <w:r>
        <w:rPr>
          <w:b/>
        </w:rPr>
        <w:t>Point out citations</w:t>
      </w:r>
      <w:r>
        <w:t xml:space="preserve"> -- the agent cites specific guidelines and trials</w:t>
      </w:r>
    </w:p>
    <w:p>
      <w:r>
        <w:t xml:space="preserve">7. </w:t>
      </w:r>
      <w:r>
        <w:rPr>
          <w:b/>
        </w:rPr>
        <w:t>If LLM is slow</w:t>
      </w:r>
      <w:r>
        <w:t>, use the scale calculators as a bridge (they are instant)</w:t>
      </w:r>
    </w:p>
    <w:p>
      <w:r>
        <w:t xml:space="preserve">8. </w:t>
      </w:r>
      <w:r>
        <w:rPr>
          <w:b/>
        </w:rPr>
        <w:t>Fallback</w:t>
      </w:r>
      <w:r>
        <w:t>: if Anthropic API is down, switch to search-only mode and show raw retrieval results</w:t>
      </w:r>
    </w:p>
    <w:p>
      <w:pPr>
        <w:pStyle w:val="Heading1"/>
      </w:pPr>
      <w:r>
        <w:rPr>
          <w:color w:val="1B2333"/>
        </w:rPr>
        <w:t>Quick Reference: Scale Calculator API</w:t>
      </w:r>
    </w:p>
    <w:p>
      <w:r>
        <w:rPr>
          <w:sz w:val="18"/>
        </w:rPr>
        <w:t>| Scale | POST Path | Required Fields |</w:t>
      </w:r>
    </w:p>
    <w:p>
      <w:r>
        <w:rPr>
          <w:sz w:val="18"/>
        </w:rPr>
        <w:t>|---|---|---|</w:t>
      </w:r>
    </w:p>
    <w:p>
      <w:r>
        <w:rPr>
          <w:sz w:val="18"/>
        </w:rPr>
        <w:t>| NIHSS | `/v1/neuro/scale/calculate` | `scale_type: "nihss"`, `scores: {}` |</w:t>
      </w:r>
    </w:p>
    <w:p>
      <w:r>
        <w:rPr>
          <w:sz w:val="18"/>
        </w:rPr>
        <w:t>| GCS | `/v1/neuro/scale/calculate` | `scale_type: "gcs"`, `eye`, `verbal`, `motor` |</w:t>
      </w:r>
    </w:p>
    <w:p>
      <w:r>
        <w:rPr>
          <w:sz w:val="18"/>
        </w:rPr>
        <w:t>| MoCA | `/v1/neuro/scale/calculate` | `scale_type: "moca"`, `domain_scores: {}` |</w:t>
      </w:r>
    </w:p>
    <w:p>
      <w:r>
        <w:rPr>
          <w:sz w:val="18"/>
        </w:rPr>
        <w:t>| UPDRS | `/v1/neuro/scale/calculate` | `scale_type: "updrs_part_iii"`, `scores: {}` |</w:t>
      </w:r>
    </w:p>
    <w:p>
      <w:r>
        <w:rPr>
          <w:sz w:val="18"/>
        </w:rPr>
        <w:t>| EDSS | `/v1/neuro/scale/calculate` | `scale_type: "edss"`, `fs_scores: {}`, `edss_step` |</w:t>
      </w:r>
    </w:p>
    <w:p>
      <w:r>
        <w:rPr>
          <w:sz w:val="18"/>
        </w:rPr>
        <w:t>| mRS | `/v1/neuro/scale/calculate` | `scale_type: "mrs"`, `score` |</w:t>
      </w:r>
    </w:p>
    <w:p>
      <w:r>
        <w:rPr>
          <w:sz w:val="18"/>
        </w:rPr>
        <w:t>| HIT-6 | `/v1/neuro/scale/calculate` | `scale_type: "hit6"`, `responses: []` |</w:t>
      </w:r>
    </w:p>
    <w:p>
      <w:r>
        <w:rPr>
          <w:sz w:val="18"/>
        </w:rPr>
        <w:t>| ALSFRS-R | `/v1/neuro/scale/calculate` | `scale_type: "alsfrs_r"`, `scores: {}` |</w:t>
      </w:r>
    </w:p>
    <w:p>
      <w:r>
        <w:rPr>
          <w:sz w:val="18"/>
        </w:rPr>
        <w:t>| ASPECTS | `/v1/neuro/scale/calculate` | `scale_type: "aspects"`, `affected_regions: []` |</w:t>
      </w:r>
    </w:p>
    <w:p>
      <w:r>
        <w:rPr>
          <w:sz w:val="18"/>
        </w:rPr>
        <w:t>| Hoehn-Yahr | `/v1/neuro/scale/calculate` | `scale_type: "hoehn_yahr"`, `stage` |</w:t>
      </w:r>
    </w:p>
    <w:p>
      <w:r>
        <w:t>*Neurology Intelligence Agent -- Demo Guide v1.0.0*</w:t>
      </w:r>
    </w:p>
    <w:p>
      <w:r>
        <w:t>*HCLS AI Factory / GTC Europe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