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2333"/>
          <w:sz w:val="48"/>
        </w:rPr>
        <w:t>Neurology Intelligence Agent</w:t>
      </w:r>
    </w:p>
    <w:p>
      <w:pPr>
        <w:pStyle w:val="Heading1"/>
      </w:pPr>
      <w:r>
        <w:rPr>
          <w:color w:val="1B2333"/>
          <w:sz w:val="36"/>
        </w:rPr>
        <w:t>Clinical Impact Assessment &amp; Uniqueness Analysis</w:t>
      </w:r>
    </w:p>
    <w:p>
      <w:r>
        <w:rPr>
          <w:b/>
          <w:color w:val="333333"/>
          <w:sz w:val="20"/>
        </w:rPr>
        <w:t>HCLS AI Factory — Precision Medicine Platform</w:t>
      </w:r>
    </w:p>
    <w:p>
      <w:r>
        <w:rPr>
          <w:b w:val="0"/>
          <w:color w:val="333333"/>
          <w:sz w:val="20"/>
        </w:rPr>
        <w:t>Author: Adam Jones | Date: March 2026 | Platform: NVIDIA DGX Spark</w:t>
      </w:r>
    </w:p>
    <w:p>
      <w:r>
        <w:rPr>
          <w:b w:val="0"/>
          <w:color w:val="333333"/>
          <w:sz w:val="20"/>
        </w:rPr>
        <w:t>Version 2.0.0 | Apache 2.0 License</w:t>
      </w:r>
    </w:p>
    <w:p>
      <w:r>
        <w:br w:type="page"/>
      </w:r>
    </w:p>
    <w:p>
      <w:pPr>
        <w:pStyle w:val="Heading1"/>
      </w:pPr>
      <w:r>
        <w:rPr>
          <w:color w:val="1B2333"/>
          <w:sz w:val="36"/>
        </w:rPr>
        <w:t>Will This Agent Decrease Time to Treat Disease?</w:t>
      </w:r>
    </w:p>
    <w:p>
      <w:r>
        <w:rPr>
          <w:b/>
          <w:color w:val="333333"/>
          <w:sz w:val="20"/>
        </w:rPr>
        <w:t>In neurology, time is measured in brain cells. The phrase neurologists use is "time is brain." Every minute of untreated stroke kills 1.9 million neurons. Every month of delayed MS treatment allows irreversible axonal damage. Every year of misdiagnosed epilepsy means preventable seizures, injuries, and cognitive decline.</w:t>
      </w:r>
    </w:p>
    <w:p>
      <w:pPr>
        <w:pStyle w:val="Heading2"/>
      </w:pPr>
      <w:r>
        <w:rPr>
          <w:color w:val="1AAFCC"/>
          <w:sz w:val="28"/>
        </w:rPr>
        <w:t>Time Compression by Clinical Scenario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Scenario</w:t>
            </w:r>
          </w:p>
        </w:tc>
        <w:tc>
          <w:tcPr>
            <w:tcW w:type="dxa" w:w="2160"/>
          </w:tcPr>
          <w:p>
            <w:r>
              <w:rPr>
                <w:b/>
                <w:sz w:val="18"/>
              </w:rPr>
              <w:t>Current Time</w:t>
            </w:r>
          </w:p>
        </w:tc>
        <w:tc>
          <w:tcPr>
            <w:tcW w:type="dxa" w:w="2160"/>
          </w:tcPr>
          <w:p>
            <w:r>
              <w:rPr>
                <w:b/>
                <w:sz w:val="18"/>
              </w:rPr>
              <w:t>With Agent</w:t>
            </w:r>
          </w:p>
        </w:tc>
        <w:tc>
          <w:tcPr>
            <w:tcW w:type="dxa" w:w="2160"/>
          </w:tcPr>
          <w:p>
            <w:r>
              <w:rPr>
                <w:b/>
                <w:sz w:val="18"/>
              </w:rPr>
              <w:t>Clinical Impact</w:t>
            </w:r>
          </w:p>
        </w:tc>
      </w:tr>
      <w:tr>
        <w:tc>
          <w:tcPr>
            <w:tcW w:type="dxa" w:w="2160"/>
          </w:tcPr>
          <w:p>
            <w:r>
              <w:rPr>
                <w:sz w:val="18"/>
              </w:rPr>
              <w:t>Stroke tPA eligibility</w:t>
            </w:r>
          </w:p>
        </w:tc>
        <w:tc>
          <w:tcPr>
            <w:tcW w:type="dxa" w:w="2160"/>
          </w:tcPr>
          <w:p>
            <w:r>
              <w:rPr>
                <w:sz w:val="18"/>
              </w:rPr>
              <w:t>15-20 min (team assessment)</w:t>
            </w:r>
          </w:p>
        </w:tc>
        <w:tc>
          <w:tcPr>
            <w:tcW w:type="dxa" w:w="2160"/>
          </w:tcPr>
          <w:p>
            <w:r>
              <w:rPr>
                <w:sz w:val="18"/>
              </w:rPr>
              <w:t>Seconds</w:t>
            </w:r>
          </w:p>
        </w:tc>
        <w:tc>
          <w:tcPr>
            <w:tcW w:type="dxa" w:w="2160"/>
          </w:tcPr>
          <w:p>
            <w:r>
              <w:rPr>
                <w:sz w:val="18"/>
              </w:rPr>
              <w:t>NIHSS + 12 contraindications + ASPECTS in one workflow. Every minute = 1.9M neurons</w:t>
            </w:r>
          </w:p>
        </w:tc>
      </w:tr>
      <w:tr>
        <w:tc>
          <w:tcPr>
            <w:tcW w:type="dxa" w:w="2160"/>
          </w:tcPr>
          <w:p>
            <w:r>
              <w:rPr>
                <w:sz w:val="18"/>
              </w:rPr>
              <w:t>Thrombectomy selection (DAWN/DEFUSE-3)</w:t>
            </w:r>
          </w:p>
        </w:tc>
        <w:tc>
          <w:tcPr>
            <w:tcW w:type="dxa" w:w="2160"/>
          </w:tcPr>
          <w:p>
            <w:r>
              <w:rPr>
                <w:sz w:val="18"/>
              </w:rPr>
              <w:t>30-60 min (imaging + criteria)</w:t>
            </w:r>
          </w:p>
        </w:tc>
        <w:tc>
          <w:tcPr>
            <w:tcW w:type="dxa" w:w="2160"/>
          </w:tcPr>
          <w:p>
            <w:r>
              <w:rPr>
                <w:sz w:val="18"/>
              </w:rPr>
              <w:t>Seconds</w:t>
            </w:r>
          </w:p>
        </w:tc>
        <w:tc>
          <w:tcPr>
            <w:tcW w:type="dxa" w:w="2160"/>
          </w:tcPr>
          <w:p>
            <w:r>
              <w:rPr>
                <w:sz w:val="18"/>
              </w:rPr>
              <w:t>Mismatch ratio, core volume, NIHSS threshold — automated for 6-24h window</w:t>
            </w:r>
          </w:p>
        </w:tc>
      </w:tr>
      <w:tr>
        <w:tc>
          <w:tcPr>
            <w:tcW w:type="dxa" w:w="2160"/>
          </w:tcPr>
          <w:p>
            <w:r>
              <w:rPr>
                <w:sz w:val="18"/>
              </w:rPr>
              <w:t>Alzheimer's diagnosis</w:t>
            </w:r>
          </w:p>
        </w:tc>
        <w:tc>
          <w:tcPr>
            <w:tcW w:type="dxa" w:w="2160"/>
          </w:tcPr>
          <w:p>
            <w:r>
              <w:rPr>
                <w:sz w:val="18"/>
              </w:rPr>
              <w:t>2-3 years (multiple visits)</w:t>
            </w:r>
          </w:p>
        </w:tc>
        <w:tc>
          <w:tcPr>
            <w:tcW w:type="dxa" w:w="2160"/>
          </w:tcPr>
          <w:p>
            <w:r>
              <w:rPr>
                <w:sz w:val="18"/>
              </w:rPr>
              <w:t>Hours (single visit)</w:t>
            </w:r>
          </w:p>
        </w:tc>
        <w:tc>
          <w:tcPr>
            <w:tcW w:type="dxa" w:w="2160"/>
          </w:tcPr>
          <w:p>
            <w:r>
              <w:rPr>
                <w:sz w:val="18"/>
              </w:rPr>
              <w:t>ATN staging + MoCA + atrophy pattern + anti-amyloid eligibility in one evaluation</w:t>
            </w:r>
          </w:p>
        </w:tc>
      </w:tr>
      <w:tr>
        <w:tc>
          <w:tcPr>
            <w:tcW w:type="dxa" w:w="2160"/>
          </w:tcPr>
          <w:p>
            <w:r>
              <w:rPr>
                <w:sz w:val="18"/>
              </w:rPr>
              <w:t>Epilepsy syndrome identification</w:t>
            </w:r>
          </w:p>
        </w:tc>
        <w:tc>
          <w:tcPr>
            <w:tcW w:type="dxa" w:w="2160"/>
          </w:tcPr>
          <w:p>
            <w:r>
              <w:rPr>
                <w:sz w:val="18"/>
              </w:rPr>
              <w:t>Months (EEG + MRI + trials)</w:t>
            </w:r>
          </w:p>
        </w:tc>
        <w:tc>
          <w:tcPr>
            <w:tcW w:type="dxa" w:w="2160"/>
          </w:tcPr>
          <w:p>
            <w:r>
              <w:rPr>
                <w:sz w:val="18"/>
              </w:rPr>
              <w:t>Minutes</w:t>
            </w:r>
          </w:p>
        </w:tc>
        <w:tc>
          <w:tcPr>
            <w:tcW w:type="dxa" w:w="2160"/>
          </w:tcPr>
          <w:p>
            <w:r>
              <w:rPr>
                <w:sz w:val="18"/>
              </w:rPr>
              <w:t>ILAE classification + syndrome matching + ASM selection with contraindication warnings</w:t>
            </w:r>
          </w:p>
        </w:tc>
      </w:tr>
      <w:tr>
        <w:tc>
          <w:tcPr>
            <w:tcW w:type="dxa" w:w="2160"/>
          </w:tcPr>
          <w:p>
            <w:r>
              <w:rPr>
                <w:sz w:val="18"/>
              </w:rPr>
              <w:t>Dravet SCN1A drug warning</w:t>
            </w:r>
          </w:p>
        </w:tc>
        <w:tc>
          <w:tcPr>
            <w:tcW w:type="dxa" w:w="2160"/>
          </w:tcPr>
          <w:p>
            <w:r>
              <w:rPr>
                <w:sz w:val="18"/>
              </w:rPr>
              <w:t>After adverse event (too late)</w:t>
            </w:r>
          </w:p>
        </w:tc>
        <w:tc>
          <w:tcPr>
            <w:tcW w:type="dxa" w:w="2160"/>
          </w:tcPr>
          <w:p>
            <w:r>
              <w:rPr>
                <w:sz w:val="18"/>
              </w:rPr>
              <w:t>Immediate</w:t>
            </w:r>
          </w:p>
        </w:tc>
        <w:tc>
          <w:tcPr>
            <w:tcW w:type="dxa" w:w="2160"/>
          </w:tcPr>
          <w:p>
            <w:r>
              <w:rPr>
                <w:sz w:val="18"/>
              </w:rPr>
              <w:t>Flags sodium channel blocker contraindication BEFORE prescribing — prevents status epilepticus</w:t>
            </w:r>
          </w:p>
        </w:tc>
      </w:tr>
      <w:tr>
        <w:tc>
          <w:tcPr>
            <w:tcW w:type="dxa" w:w="2160"/>
          </w:tcPr>
          <w:p>
            <w:r>
              <w:rPr>
                <w:sz w:val="18"/>
              </w:rPr>
              <w:t>MS DMT escalation</w:t>
            </w:r>
          </w:p>
        </w:tc>
        <w:tc>
          <w:tcPr>
            <w:tcW w:type="dxa" w:w="2160"/>
          </w:tcPr>
          <w:p>
            <w:r>
              <w:rPr>
                <w:sz w:val="18"/>
              </w:rPr>
              <w:t>6-12 months (missed window)</w:t>
            </w:r>
          </w:p>
        </w:tc>
        <w:tc>
          <w:tcPr>
            <w:tcW w:type="dxa" w:w="2160"/>
          </w:tcPr>
          <w:p>
            <w:r>
              <w:rPr>
                <w:sz w:val="18"/>
              </w:rPr>
              <w:t>Real-time</w:t>
            </w:r>
          </w:p>
        </w:tc>
        <w:tc>
          <w:tcPr>
            <w:tcW w:type="dxa" w:w="2160"/>
          </w:tcPr>
          <w:p>
            <w:r>
              <w:rPr>
                <w:sz w:val="18"/>
              </w:rPr>
              <w:t>NEDA-3 calculation + escalation triggers + PML risk assessment</w:t>
            </w:r>
          </w:p>
        </w:tc>
      </w:tr>
      <w:tr>
        <w:tc>
          <w:tcPr>
            <w:tcW w:type="dxa" w:w="2160"/>
          </w:tcPr>
          <w:p>
            <w:r>
              <w:rPr>
                <w:sz w:val="18"/>
              </w:rPr>
              <w:t>Parkinson's atypical red flags</w:t>
            </w:r>
          </w:p>
        </w:tc>
        <w:tc>
          <w:tcPr>
            <w:tcW w:type="dxa" w:w="2160"/>
          </w:tcPr>
          <w:p>
            <w:r>
              <w:rPr>
                <w:sz w:val="18"/>
              </w:rPr>
              <w:t>Years of wrong diagnosis</w:t>
            </w:r>
          </w:p>
        </w:tc>
        <w:tc>
          <w:tcPr>
            <w:tcW w:type="dxa" w:w="2160"/>
          </w:tcPr>
          <w:p>
            <w:r>
              <w:rPr>
                <w:sz w:val="18"/>
              </w:rPr>
              <w:t>First visit</w:t>
            </w:r>
          </w:p>
        </w:tc>
        <w:tc>
          <w:tcPr>
            <w:tcW w:type="dxa" w:w="2160"/>
          </w:tcPr>
          <w:p>
            <w:r>
              <w:rPr>
                <w:sz w:val="18"/>
              </w:rPr>
              <w:t>8 atypical red flags + DaT-SPECT interpretation + UPDRS subtyping</w:t>
            </w:r>
          </w:p>
        </w:tc>
      </w:tr>
      <w:tr>
        <w:tc>
          <w:tcPr>
            <w:tcW w:type="dxa" w:w="2160"/>
          </w:tcPr>
          <w:p>
            <w:r>
              <w:rPr>
                <w:sz w:val="18"/>
              </w:rPr>
              <w:t>Headache red flag triage</w:t>
            </w:r>
          </w:p>
        </w:tc>
        <w:tc>
          <w:tcPr>
            <w:tcW w:type="dxa" w:w="2160"/>
          </w:tcPr>
          <w:p>
            <w:r>
              <w:rPr>
                <w:sz w:val="18"/>
              </w:rPr>
              <w:t>Variable (specialist wait)</w:t>
            </w:r>
          </w:p>
        </w:tc>
        <w:tc>
          <w:tcPr>
            <w:tcW w:type="dxa" w:w="2160"/>
          </w:tcPr>
          <w:p>
            <w:r>
              <w:rPr>
                <w:sz w:val="18"/>
              </w:rPr>
              <w:t>Seconds</w:t>
            </w:r>
          </w:p>
        </w:tc>
        <w:tc>
          <w:tcPr>
            <w:tcW w:type="dxa" w:w="2160"/>
          </w:tcPr>
          <w:p>
            <w:r>
              <w:rPr>
                <w:sz w:val="18"/>
              </w:rPr>
              <w:t>SNOOP criteria + ICHD-3 classification + thunderclap → SAH protocol</w:t>
            </w:r>
          </w:p>
        </w:tc>
      </w:tr>
    </w:tbl>
    <w:p/>
    <w:p>
      <w:pPr>
        <w:pStyle w:val="Heading2"/>
      </w:pPr>
      <w:r>
        <w:rPr>
          <w:color w:val="1AAFCC"/>
          <w:sz w:val="28"/>
        </w:rPr>
        <w:t>Where It Saves Lives Directly</w:t>
      </w:r>
    </w:p>
    <w:p>
      <w:r>
        <w:rPr>
          <w:b/>
          <w:color w:val="333333"/>
          <w:sz w:val="20"/>
        </w:rPr>
        <w:t>Acute stroke — the 4.5-hour window:</w:t>
      </w:r>
    </w:p>
    <w:p>
      <w:r>
        <w:rPr>
          <w:b w:val="0"/>
          <w:color w:val="333333"/>
          <w:sz w:val="20"/>
        </w:rPr>
        <w:t>A patient arrives at a community hospital ER with sudden right-sided weakness and speech difficulty. The emergency physician needs to determine tPA eligibility within minutes. Your agent computes NIHSS from 15 items, checks 12 contraindications, evaluates ASPECTS from CT, and generates the eligibility decision — structured, documented, and guideline-concordant. At academic stroke centers, this assessment takes a coordinated team. At community hospitals without stroke neurologists, your agent provides the same systematic evaluation. For the 800,000 Americans who have strokes annually, access to this decision support at community hospitals could save thousands of lives.</w:t>
      </w:r>
    </w:p>
    <w:p>
      <w:r>
        <w:rPr>
          <w:b/>
          <w:color w:val="333333"/>
          <w:sz w:val="20"/>
        </w:rPr>
        <w:t>Dravet syndrome — the wrong drug kills:</w:t>
      </w:r>
    </w:p>
    <w:p>
      <w:r>
        <w:rPr>
          <w:b w:val="0"/>
          <w:color w:val="333333"/>
          <w:sz w:val="20"/>
        </w:rPr>
        <w:t>A 14-month-old with prolonged febrile seizures is started on carbamazepine by a general pediatrician. In Dravet syndrome (SCN1A mutation), carbamazepine worsens seizures and can trigger fatal status epilepticus. Your agent flags the SCN1A association when the phenotype matches, explicitly warns against sodium channel blockers, and recommends the correct alternatives. This pharmacogenomic safety check currently exists only at specialized epilepsy centers — your agent makes it available to every pediatrician.</w:t>
      </w:r>
    </w:p>
    <w:p>
      <w:r>
        <w:rPr>
          <w:b/>
          <w:color w:val="333333"/>
          <w:sz w:val="20"/>
        </w:rPr>
        <w:t>Early Alzheimer's — the treatment window:</w:t>
      </w:r>
    </w:p>
    <w:p>
      <w:r>
        <w:rPr>
          <w:b w:val="0"/>
          <w:color w:val="333333"/>
          <w:sz w:val="20"/>
        </w:rPr>
        <w:t>Lecanemab (approved 2023) and donanemab (approved 2024) are the first disease-modifying Alzheimer's therapies. But they only work in early-stage disease with confirmed amyloid positivity. The 2-3 year average diagnostic delay means most patients are diagnosed too late to benefit. Your agent applies ATN staging at the first evaluation, identifies candidates for anti-amyloid therapy, and flags APOE e4/e4 carriers for enhanced ARIA monitoring. Compressing diagnosis from years to hours directly expands the population eligible for these breakthrough therapies.</w:t>
      </w:r>
    </w:p>
    <w:p>
      <w:pPr>
        <w:pStyle w:val="Heading2"/>
      </w:pPr>
      <w:r>
        <w:rPr>
          <w:color w:val="1AAFCC"/>
          <w:sz w:val="28"/>
        </w:rPr>
        <w:t>The Scale of Impact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Condition</w:t>
            </w:r>
          </w:p>
        </w:tc>
        <w:tc>
          <w:tcPr>
            <w:tcW w:type="dxa" w:w="2160"/>
          </w:tcPr>
          <w:p>
            <w:r>
              <w:rPr>
                <w:b/>
                <w:sz w:val="18"/>
              </w:rPr>
              <w:t>Global Prevalence</w:t>
            </w:r>
          </w:p>
        </w:tc>
        <w:tc>
          <w:tcPr>
            <w:tcW w:type="dxa" w:w="2160"/>
          </w:tcPr>
          <w:p>
            <w:r>
              <w:rPr>
                <w:b/>
                <w:sz w:val="18"/>
              </w:rPr>
              <w:t>Annual Deaths</w:t>
            </w:r>
          </w:p>
        </w:tc>
        <w:tc>
          <w:tcPr>
            <w:tcW w:type="dxa" w:w="2160"/>
          </w:tcPr>
          <w:p>
            <w:r>
              <w:rPr>
                <w:b/>
                <w:sz w:val="18"/>
              </w:rPr>
              <w:t>Current Diagnostic Delay</w:t>
            </w:r>
          </w:p>
        </w:tc>
      </w:tr>
      <w:tr>
        <w:tc>
          <w:tcPr>
            <w:tcW w:type="dxa" w:w="2160"/>
          </w:tcPr>
          <w:p>
            <w:r>
              <w:rPr>
                <w:sz w:val="18"/>
              </w:rPr>
              <w:t>Stroke</w:t>
            </w:r>
          </w:p>
        </w:tc>
        <w:tc>
          <w:tcPr>
            <w:tcW w:type="dxa" w:w="2160"/>
          </w:tcPr>
          <w:p>
            <w:r>
              <w:rPr>
                <w:sz w:val="18"/>
              </w:rPr>
              <w:t>100M+ survivors</w:t>
            </w:r>
          </w:p>
        </w:tc>
        <w:tc>
          <w:tcPr>
            <w:tcW w:type="dxa" w:w="2160"/>
          </w:tcPr>
          <w:p>
            <w:r>
              <w:rPr>
                <w:sz w:val="18"/>
              </w:rPr>
              <w:t>6.5 million</w:t>
            </w:r>
          </w:p>
        </w:tc>
        <w:tc>
          <w:tcPr>
            <w:tcW w:type="dxa" w:w="2160"/>
          </w:tcPr>
          <w:p>
            <w:r>
              <w:rPr>
                <w:sz w:val="18"/>
              </w:rPr>
              <w:t>Minutes matter (tPA &lt;4.5h)</w:t>
            </w:r>
          </w:p>
        </w:tc>
      </w:tr>
      <w:tr>
        <w:tc>
          <w:tcPr>
            <w:tcW w:type="dxa" w:w="2160"/>
          </w:tcPr>
          <w:p>
            <w:r>
              <w:rPr>
                <w:sz w:val="18"/>
              </w:rPr>
              <w:t>Alzheimer's disease</w:t>
            </w:r>
          </w:p>
        </w:tc>
        <w:tc>
          <w:tcPr>
            <w:tcW w:type="dxa" w:w="2160"/>
          </w:tcPr>
          <w:p>
            <w:r>
              <w:rPr>
                <w:sz w:val="18"/>
              </w:rPr>
              <w:t>55 million (→139M by 2050)</w:t>
            </w:r>
          </w:p>
        </w:tc>
        <w:tc>
          <w:tcPr>
            <w:tcW w:type="dxa" w:w="2160"/>
          </w:tcPr>
          <w:p>
            <w:r>
              <w:rPr>
                <w:sz w:val="18"/>
              </w:rPr>
              <w:t>1.8 million</w:t>
            </w:r>
          </w:p>
        </w:tc>
        <w:tc>
          <w:tcPr>
            <w:tcW w:type="dxa" w:w="2160"/>
          </w:tcPr>
          <w:p>
            <w:r>
              <w:rPr>
                <w:sz w:val="18"/>
              </w:rPr>
              <w:t>2-3 years average</w:t>
            </w:r>
          </w:p>
        </w:tc>
      </w:tr>
      <w:tr>
        <w:tc>
          <w:tcPr>
            <w:tcW w:type="dxa" w:w="2160"/>
          </w:tcPr>
          <w:p>
            <w:r>
              <w:rPr>
                <w:sz w:val="18"/>
              </w:rPr>
              <w:t>Epilepsy</w:t>
            </w:r>
          </w:p>
        </w:tc>
        <w:tc>
          <w:tcPr>
            <w:tcW w:type="dxa" w:w="2160"/>
          </w:tcPr>
          <w:p>
            <w:r>
              <w:rPr>
                <w:sz w:val="18"/>
              </w:rPr>
              <w:t>50 million</w:t>
            </w:r>
          </w:p>
        </w:tc>
        <w:tc>
          <w:tcPr>
            <w:tcW w:type="dxa" w:w="2160"/>
          </w:tcPr>
          <w:p>
            <w:r>
              <w:rPr>
                <w:sz w:val="18"/>
              </w:rPr>
              <w:t>125,000 (SUDEP)</w:t>
            </w:r>
          </w:p>
        </w:tc>
        <w:tc>
          <w:tcPr>
            <w:tcW w:type="dxa" w:w="2160"/>
          </w:tcPr>
          <w:p>
            <w:r>
              <w:rPr>
                <w:sz w:val="18"/>
              </w:rPr>
              <w:t>Months to classify syndrome</w:t>
            </w:r>
          </w:p>
        </w:tc>
      </w:tr>
      <w:tr>
        <w:tc>
          <w:tcPr>
            <w:tcW w:type="dxa" w:w="2160"/>
          </w:tcPr>
          <w:p>
            <w:r>
              <w:rPr>
                <w:sz w:val="18"/>
              </w:rPr>
              <w:t>Parkinson's disease</w:t>
            </w:r>
          </w:p>
        </w:tc>
        <w:tc>
          <w:tcPr>
            <w:tcW w:type="dxa" w:w="2160"/>
          </w:tcPr>
          <w:p>
            <w:r>
              <w:rPr>
                <w:sz w:val="18"/>
              </w:rPr>
              <w:t>10 million</w:t>
            </w:r>
          </w:p>
        </w:tc>
        <w:tc>
          <w:tcPr>
            <w:tcW w:type="dxa" w:w="2160"/>
          </w:tcPr>
          <w:p>
            <w:r>
              <w:rPr>
                <w:sz w:val="18"/>
              </w:rPr>
              <w:t>330,000</w:t>
            </w:r>
          </w:p>
        </w:tc>
        <w:tc>
          <w:tcPr>
            <w:tcW w:type="dxa" w:w="2160"/>
          </w:tcPr>
          <w:p>
            <w:r>
              <w:rPr>
                <w:sz w:val="18"/>
              </w:rPr>
              <w:t>30% initially misdiagnosed</w:t>
            </w:r>
          </w:p>
        </w:tc>
      </w:tr>
      <w:tr>
        <w:tc>
          <w:tcPr>
            <w:tcW w:type="dxa" w:w="2160"/>
          </w:tcPr>
          <w:p>
            <w:r>
              <w:rPr>
                <w:sz w:val="18"/>
              </w:rPr>
              <w:t>Multiple sclerosis</w:t>
            </w:r>
          </w:p>
        </w:tc>
        <w:tc>
          <w:tcPr>
            <w:tcW w:type="dxa" w:w="2160"/>
          </w:tcPr>
          <w:p>
            <w:r>
              <w:rPr>
                <w:sz w:val="18"/>
              </w:rPr>
              <w:t>2.8 million</w:t>
            </w:r>
          </w:p>
        </w:tc>
        <w:tc>
          <w:tcPr>
            <w:tcW w:type="dxa" w:w="2160"/>
          </w:tcPr>
          <w:p>
            <w:r>
              <w:rPr>
                <w:sz w:val="18"/>
              </w:rPr>
              <w:t>20,000</w:t>
            </w:r>
          </w:p>
        </w:tc>
        <w:tc>
          <w:tcPr>
            <w:tcW w:type="dxa" w:w="2160"/>
          </w:tcPr>
          <w:p>
            <w:r>
              <w:rPr>
                <w:sz w:val="18"/>
              </w:rPr>
              <w:t>3-5 years to confirm</w:t>
            </w:r>
          </w:p>
        </w:tc>
      </w:tr>
      <w:tr>
        <w:tc>
          <w:tcPr>
            <w:tcW w:type="dxa" w:w="2160"/>
          </w:tcPr>
          <w:p>
            <w:r>
              <w:rPr>
                <w:sz w:val="18"/>
              </w:rPr>
              <w:t>ALS</w:t>
            </w:r>
          </w:p>
        </w:tc>
        <w:tc>
          <w:tcPr>
            <w:tcW w:type="dxa" w:w="2160"/>
          </w:tcPr>
          <w:p>
            <w:r>
              <w:rPr>
                <w:sz w:val="18"/>
              </w:rPr>
              <w:t>500,000</w:t>
            </w:r>
          </w:p>
        </w:tc>
        <w:tc>
          <w:tcPr>
            <w:tcW w:type="dxa" w:w="2160"/>
          </w:tcPr>
          <w:p>
            <w:r>
              <w:rPr>
                <w:sz w:val="18"/>
              </w:rPr>
              <w:t>30,000</w:t>
            </w:r>
          </w:p>
        </w:tc>
        <w:tc>
          <w:tcPr>
            <w:tcW w:type="dxa" w:w="2160"/>
          </w:tcPr>
          <w:p>
            <w:r>
              <w:rPr>
                <w:sz w:val="18"/>
              </w:rPr>
              <w:t>12-18 months average</w:t>
            </w:r>
          </w:p>
        </w:tc>
      </w:tr>
      <w:tr>
        <w:tc>
          <w:tcPr>
            <w:tcW w:type="dxa" w:w="2160"/>
          </w:tcPr>
          <w:p>
            <w:r>
              <w:rPr>
                <w:sz w:val="18"/>
              </w:rPr>
              <w:t>Brain tumors</w:t>
            </w:r>
          </w:p>
        </w:tc>
        <w:tc>
          <w:tcPr>
            <w:tcW w:type="dxa" w:w="2160"/>
          </w:tcPr>
          <w:p>
            <w:r>
              <w:rPr>
                <w:sz w:val="18"/>
              </w:rPr>
              <w:t>700,000 new/year</w:t>
            </w:r>
          </w:p>
        </w:tc>
        <w:tc>
          <w:tcPr>
            <w:tcW w:type="dxa" w:w="2160"/>
          </w:tcPr>
          <w:p>
            <w:r>
              <w:rPr>
                <w:sz w:val="18"/>
              </w:rPr>
              <w:t>250,000</w:t>
            </w:r>
          </w:p>
        </w:tc>
        <w:tc>
          <w:tcPr>
            <w:tcW w:type="dxa" w:w="2160"/>
          </w:tcPr>
          <w:p>
            <w:r>
              <w:rPr>
                <w:sz w:val="18"/>
              </w:rPr>
              <w:t>Weeks for molecular classification</w:t>
            </w:r>
          </w:p>
        </w:tc>
      </w:tr>
      <w:tr>
        <w:tc>
          <w:tcPr>
            <w:tcW w:type="dxa" w:w="2160"/>
          </w:tcPr>
          <w:p>
            <w:r>
              <w:rPr>
                <w:sz w:val="18"/>
              </w:rPr>
              <w:t>Migraine</w:t>
            </w:r>
          </w:p>
        </w:tc>
        <w:tc>
          <w:tcPr>
            <w:tcW w:type="dxa" w:w="2160"/>
          </w:tcPr>
          <w:p>
            <w:r>
              <w:rPr>
                <w:sz w:val="18"/>
              </w:rPr>
              <w:t>1 billion</w:t>
            </w:r>
          </w:p>
        </w:tc>
        <w:tc>
          <w:tcPr>
            <w:tcW w:type="dxa" w:w="2160"/>
          </w:tcPr>
          <w:p>
            <w:r>
              <w:rPr>
                <w:sz w:val="18"/>
              </w:rPr>
              <w:t>Rare (status migrainosus)</w:t>
            </w:r>
          </w:p>
        </w:tc>
        <w:tc>
          <w:tcPr>
            <w:tcW w:type="dxa" w:w="2160"/>
          </w:tcPr>
          <w:p>
            <w:r>
              <w:rPr>
                <w:sz w:val="18"/>
              </w:rPr>
              <w:t>Years undertreated</w:t>
            </w:r>
          </w:p>
        </w:tc>
      </w:tr>
      <w:tr>
        <w:tc>
          <w:tcPr>
            <w:tcW w:type="dxa" w:w="2160"/>
          </w:tcPr>
          <w:p>
            <w:r>
              <w:rPr>
                <w:sz w:val="18"/>
              </w:rPr>
              <w:t>TOTAL</w:t>
            </w:r>
          </w:p>
        </w:tc>
        <w:tc>
          <w:tcPr>
            <w:tcW w:type="dxa" w:w="2160"/>
          </w:tcPr>
          <w:p>
            <w:r>
              <w:rPr>
                <w:sz w:val="18"/>
              </w:rPr>
              <w:t>3+ billion affected</w:t>
            </w:r>
          </w:p>
        </w:tc>
        <w:tc>
          <w:tcPr>
            <w:tcW w:type="dxa" w:w="2160"/>
          </w:tcPr>
          <w:p>
            <w:r>
              <w:rPr>
                <w:sz w:val="18"/>
              </w:rPr>
              <w:t>#1 cause of disability</w:t>
            </w:r>
          </w:p>
        </w:tc>
        <w:tc>
          <w:tcPr>
            <w:tcW w:type="dxa" w:w="2160"/>
          </w:tcPr>
          <w:p>
            <w:r>
              <w:rPr>
                <w:sz w:val="18"/>
              </w:rPr>
              <w:t>Your agent addresses all 8</w:t>
            </w:r>
          </w:p>
        </w:tc>
      </w:tr>
    </w:tbl>
    <w:p/>
    <w:p>
      <w:r>
        <w:br w:type="page"/>
      </w:r>
    </w:p>
    <w:p>
      <w:pPr>
        <w:pStyle w:val="Heading1"/>
      </w:pPr>
      <w:r>
        <w:rPr>
          <w:color w:val="1B2333"/>
          <w:sz w:val="36"/>
        </w:rPr>
        <w:t>Does Something Like This Currently Exist?</w:t>
      </w:r>
    </w:p>
    <w:p>
      <w:r>
        <w:rPr>
          <w:b/>
          <w:color w:val="333333"/>
          <w:sz w:val="20"/>
        </w:rPr>
        <w:t>Not with this breadth. Not with this integration. Not at this price.</w:t>
      </w:r>
    </w:p>
    <w:p>
      <w:pPr>
        <w:pStyle w:val="Heading2"/>
      </w:pPr>
      <w:r>
        <w:rPr>
          <w:color w:val="1AAFCC"/>
          <w:sz w:val="28"/>
        </w:rPr>
        <w:t>Market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Platform</w:t>
            </w:r>
          </w:p>
        </w:tc>
        <w:tc>
          <w:tcPr>
            <w:tcW w:type="dxa" w:w="2880"/>
          </w:tcPr>
          <w:p>
            <w:r>
              <w:rPr>
                <w:b/>
                <w:sz w:val="18"/>
              </w:rPr>
              <w:t>What It Does</w:t>
            </w:r>
          </w:p>
        </w:tc>
        <w:tc>
          <w:tcPr>
            <w:tcW w:type="dxa" w:w="2880"/>
          </w:tcPr>
          <w:p>
            <w:r>
              <w:rPr>
                <w:b/>
                <w:sz w:val="18"/>
              </w:rPr>
              <w:t>What It Doesn't Do</w:t>
            </w:r>
          </w:p>
        </w:tc>
      </w:tr>
      <w:tr>
        <w:tc>
          <w:tcPr>
            <w:tcW w:type="dxa" w:w="2880"/>
          </w:tcPr>
          <w:p>
            <w:r>
              <w:rPr>
                <w:sz w:val="18"/>
              </w:rPr>
              <w:t>Viz.ai Stroke</w:t>
            </w:r>
          </w:p>
        </w:tc>
        <w:tc>
          <w:tcPr>
            <w:tcW w:type="dxa" w:w="2880"/>
          </w:tcPr>
          <w:p>
            <w:r>
              <w:rPr>
                <w:sz w:val="18"/>
              </w:rPr>
              <w:t>LVO detection on CTA, automated stroke team alert</w:t>
            </w:r>
          </w:p>
        </w:tc>
        <w:tc>
          <w:tcPr>
            <w:tcW w:type="dxa" w:w="2880"/>
          </w:tcPr>
          <w:p>
            <w:r>
              <w:rPr>
                <w:sz w:val="18"/>
              </w:rPr>
              <w:t>Single condition — no dementia, epilepsy, MS, PD, scales, or RAG</w:t>
            </w:r>
          </w:p>
        </w:tc>
      </w:tr>
      <w:tr>
        <w:tc>
          <w:tcPr>
            <w:tcW w:type="dxa" w:w="2880"/>
          </w:tcPr>
          <w:p>
            <w:r>
              <w:rPr>
                <w:sz w:val="18"/>
              </w:rPr>
              <w:t>Brainomix e-Stroke</w:t>
            </w:r>
          </w:p>
        </w:tc>
        <w:tc>
          <w:tcPr>
            <w:tcW w:type="dxa" w:w="2880"/>
          </w:tcPr>
          <w:p>
            <w:r>
              <w:rPr>
                <w:sz w:val="18"/>
              </w:rPr>
              <w:t>ASPECTS scoring + CT perfusion analysis</w:t>
            </w:r>
          </w:p>
        </w:tc>
        <w:tc>
          <w:tcPr>
            <w:tcW w:type="dxa" w:w="2880"/>
          </w:tcPr>
          <w:p>
            <w:r>
              <w:rPr>
                <w:sz w:val="18"/>
              </w:rPr>
              <w:t>Imaging-only — no clinical scales, no treatment recs, no cross-agent</w:t>
            </w:r>
          </w:p>
        </w:tc>
      </w:tr>
      <w:tr>
        <w:tc>
          <w:tcPr>
            <w:tcW w:type="dxa" w:w="2880"/>
          </w:tcPr>
          <w:p>
            <w:r>
              <w:rPr>
                <w:sz w:val="18"/>
              </w:rPr>
              <w:t>RapidAI</w:t>
            </w:r>
          </w:p>
        </w:tc>
        <w:tc>
          <w:tcPr>
            <w:tcW w:type="dxa" w:w="2880"/>
          </w:tcPr>
          <w:p>
            <w:r>
              <w:rPr>
                <w:sz w:val="18"/>
              </w:rPr>
              <w:t>CT perfusion mismatch for thrombectomy</w:t>
            </w:r>
          </w:p>
        </w:tc>
        <w:tc>
          <w:tcPr>
            <w:tcW w:type="dxa" w:w="2880"/>
          </w:tcPr>
          <w:p>
            <w:r>
              <w:rPr>
                <w:sz w:val="18"/>
              </w:rPr>
              <w:t>Single workflow — no other neurological conditions</w:t>
            </w:r>
          </w:p>
        </w:tc>
      </w:tr>
      <w:tr>
        <w:tc>
          <w:tcPr>
            <w:tcW w:type="dxa" w:w="2880"/>
          </w:tcPr>
          <w:p>
            <w:r>
              <w:rPr>
                <w:sz w:val="18"/>
              </w:rPr>
              <w:t>Qure.ai qER</w:t>
            </w:r>
          </w:p>
        </w:tc>
        <w:tc>
          <w:tcPr>
            <w:tcW w:type="dxa" w:w="2880"/>
          </w:tcPr>
          <w:p>
            <w:r>
              <w:rPr>
                <w:sz w:val="18"/>
              </w:rPr>
              <w:t>Head CT triage (hemorrhage, fracture)</w:t>
            </w:r>
          </w:p>
        </w:tc>
        <w:tc>
          <w:tcPr>
            <w:tcW w:type="dxa" w:w="2880"/>
          </w:tcPr>
          <w:p>
            <w:r>
              <w:rPr>
                <w:sz w:val="18"/>
              </w:rPr>
              <w:t>Triage-only — no clinical context, no treatment decisions</w:t>
            </w:r>
          </w:p>
        </w:tc>
      </w:tr>
      <w:tr>
        <w:tc>
          <w:tcPr>
            <w:tcW w:type="dxa" w:w="2880"/>
          </w:tcPr>
          <w:p>
            <w:r>
              <w:rPr>
                <w:sz w:val="18"/>
              </w:rPr>
              <w:t>Natus/Persyst</w:t>
            </w:r>
          </w:p>
        </w:tc>
        <w:tc>
          <w:tcPr>
            <w:tcW w:type="dxa" w:w="2880"/>
          </w:tcPr>
          <w:p>
            <w:r>
              <w:rPr>
                <w:sz w:val="18"/>
              </w:rPr>
              <w:t>EEG seizure detection and spike counting</w:t>
            </w:r>
          </w:p>
        </w:tc>
        <w:tc>
          <w:tcPr>
            <w:tcW w:type="dxa" w:w="2880"/>
          </w:tcPr>
          <w:p>
            <w:r>
              <w:rPr>
                <w:sz w:val="18"/>
              </w:rPr>
              <w:t>EEG-only — no clinical workflows, no drug recommendations</w:t>
            </w:r>
          </w:p>
        </w:tc>
      </w:tr>
      <w:tr>
        <w:tc>
          <w:tcPr>
            <w:tcW w:type="dxa" w:w="2880"/>
          </w:tcPr>
          <w:p>
            <w:r>
              <w:rPr>
                <w:sz w:val="18"/>
              </w:rPr>
              <w:t>MDCalc</w:t>
            </w:r>
          </w:p>
        </w:tc>
        <w:tc>
          <w:tcPr>
            <w:tcW w:type="dxa" w:w="2880"/>
          </w:tcPr>
          <w:p>
            <w:r>
              <w:rPr>
                <w:sz w:val="18"/>
              </w:rPr>
              <w:t>Individual scale calculators</w:t>
            </w:r>
          </w:p>
        </w:tc>
        <w:tc>
          <w:tcPr>
            <w:tcW w:type="dxa" w:w="2880"/>
          </w:tcPr>
          <w:p>
            <w:r>
              <w:rPr>
                <w:sz w:val="18"/>
              </w:rPr>
              <w:t>Separate tools — no integration, no workflows, no RAG</w:t>
            </w:r>
          </w:p>
        </w:tc>
      </w:tr>
      <w:tr>
        <w:tc>
          <w:tcPr>
            <w:tcW w:type="dxa" w:w="2880"/>
          </w:tcPr>
          <w:p>
            <w:r>
              <w:rPr>
                <w:sz w:val="18"/>
              </w:rPr>
              <w:t>UpToDate</w:t>
            </w:r>
          </w:p>
        </w:tc>
        <w:tc>
          <w:tcPr>
            <w:tcW w:type="dxa" w:w="2880"/>
          </w:tcPr>
          <w:p>
            <w:r>
              <w:rPr>
                <w:sz w:val="18"/>
              </w:rPr>
              <w:t>Text-based neurology reference</w:t>
            </w:r>
          </w:p>
        </w:tc>
        <w:tc>
          <w:tcPr>
            <w:tcW w:type="dxa" w:w="2880"/>
          </w:tcPr>
          <w:p>
            <w:r>
              <w:rPr>
                <w:sz w:val="18"/>
              </w:rPr>
              <w:t>Search-only — no calculators, no patient-specific assessment</w:t>
            </w:r>
          </w:p>
        </w:tc>
      </w:tr>
      <w:tr>
        <w:tc>
          <w:tcPr>
            <w:tcW w:type="dxa" w:w="2880"/>
          </w:tcPr>
          <w:p>
            <w:r>
              <w:rPr>
                <w:sz w:val="18"/>
              </w:rPr>
              <w:t>Viz.ai ($50-100K/yr)</w:t>
            </w:r>
          </w:p>
        </w:tc>
        <w:tc>
          <w:tcPr>
            <w:tcW w:type="dxa" w:w="2880"/>
          </w:tcPr>
          <w:p>
            <w:r>
              <w:rPr>
                <w:sz w:val="18"/>
              </w:rPr>
              <w:t>FDA-cleared stroke notification</w:t>
            </w:r>
          </w:p>
        </w:tc>
        <w:tc>
          <w:tcPr>
            <w:tcW w:type="dxa" w:w="2880"/>
          </w:tcPr>
          <w:p>
            <w:r>
              <w:rPr>
                <w:sz w:val="18"/>
              </w:rPr>
              <w:t>Your agent: all 8 neuro domains, 10 scales, $3,999 total, Apache 2.0</w:t>
            </w:r>
          </w:p>
        </w:tc>
      </w:tr>
    </w:tbl>
    <w:p/>
    <w:p>
      <w:pPr>
        <w:pStyle w:val="Heading2"/>
      </w:pPr>
      <w:r>
        <w:rPr>
          <w:color w:val="1AAFCC"/>
          <w:sz w:val="28"/>
        </w:rPr>
        <w:t>What Makes This Architecturally Novel</w:t>
      </w:r>
    </w:p>
    <w:p>
      <w:r>
        <w:rPr>
          <w:b/>
          <w:color w:val="333333"/>
          <w:sz w:val="20"/>
        </w:rPr>
        <w:t>All of neurology in one system:</w:t>
      </w:r>
    </w:p>
    <w:p>
      <w:r>
        <w:rPr>
          <w:b w:val="0"/>
          <w:color w:val="333333"/>
          <w:sz w:val="20"/>
        </w:rPr>
        <w:t>Every existing neuro AI tool is single-condition. Viz.ai does stroke. Persyst does EEG. Nobody covers stroke AND dementia AND epilepsy AND MS AND Parkinson's AND headache AND neuromuscular AND neuro-oncology in one agent with 8 workflows, 10 scales, and 14 collections.</w:t>
      </w:r>
    </w:p>
    <w:p>
      <w:r>
        <w:rPr>
          <w:b/>
          <w:color w:val="333333"/>
          <w:sz w:val="20"/>
        </w:rPr>
        <w:t>Clinical scales as deterministic engines:</w:t>
      </w:r>
    </w:p>
    <w:p>
      <w:r>
        <w:rPr>
          <w:b w:val="0"/>
          <w:color w:val="333333"/>
          <w:sz w:val="20"/>
        </w:rPr>
        <w:t>When the agent calculates NIHSS = 14, that's 15 items scored with published criteria — not an LLM approximation. ASPECTS = 7 is 10 CT regions against validated thresholds. Scales feed workflow logic (NIHSS &gt;= 4 → tPA, ASPECTS &gt;= 6 → thrombectomy). No neuro AI tool has this deterministic-probabilistic split.</w:t>
      </w:r>
    </w:p>
    <w:p>
      <w:r>
        <w:rPr>
          <w:b/>
          <w:color w:val="333333"/>
          <w:sz w:val="20"/>
        </w:rPr>
        <w:t>Cross-modal neurological intelligence:</w:t>
      </w:r>
    </w:p>
    <w:p>
      <w:r>
        <w:rPr>
          <w:b w:val="0"/>
          <w:color w:val="333333"/>
          <w:sz w:val="20"/>
        </w:rPr>
        <w:t>Dementia workflow identifies PSEN1 risk → triggers Rare Disease Agent for genetic counseling. Stroke identifies cardioembolic → queries Cardiology Agent for AF management. Epilepsy flags SCN1A → triggers PGx Agent for ASM contraindications. 10 companion agents.</w:t>
      </w:r>
    </w:p>
    <w:p>
      <w:r>
        <w:rPr>
          <w:b/>
          <w:color w:val="333333"/>
          <w:sz w:val="20"/>
        </w:rPr>
        <w:t>251 entity aliases across 16 synonym maps:</w:t>
      </w:r>
    </w:p>
    <w:p>
      <w:r>
        <w:rPr>
          <w:b w:val="0"/>
          <w:color w:val="333333"/>
          <w:sz w:val="20"/>
        </w:rPr>
        <w:t>"Shaking" → tremor, Parkinson's, essential tremor, dystonia, myoclonus. "Bad headache" → migraine, cluster, tension, red flag assessment. "Brain attack" → stroke protocols. Real clinical language, not medical jargon requirements.</w:t>
      </w:r>
    </w:p>
    <w:p>
      <w:r>
        <w:rPr>
          <w:b/>
          <w:color w:val="333333"/>
          <w:sz w:val="20"/>
        </w:rPr>
        <w:t>Open source on $3,999 hardware:</w:t>
      </w:r>
    </w:p>
    <w:p>
      <w:r>
        <w:rPr>
          <w:b w:val="0"/>
          <w:color w:val="333333"/>
          <w:sz w:val="20"/>
        </w:rPr>
        <w:t>Viz.ai: $50-100K/year. RapidAI: per-scan fees. Brainomix: enterprise licensing. Your agent: $3,999 total, Apache 2.0. A neurology residency program, a community stroke center, a rural teleneurology clinic can all run it.</w:t>
      </w:r>
    </w:p>
    <w:p>
      <w:r>
        <w:br w:type="page"/>
      </w:r>
    </w:p>
    <w:p>
      <w:pPr>
        <w:pStyle w:val="Heading1"/>
      </w:pPr>
      <w:r>
        <w:rPr>
          <w:color w:val="1B2333"/>
          <w:sz w:val="36"/>
        </w:rPr>
        <w:t>Platform Capability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Capability</w:t>
            </w:r>
          </w:p>
        </w:tc>
        <w:tc>
          <w:tcPr>
            <w:tcW w:type="dxa" w:w="2880"/>
          </w:tcPr>
          <w:p>
            <w:r>
              <w:rPr>
                <w:b/>
                <w:sz w:val="18"/>
              </w:rPr>
              <w:t>Count</w:t>
            </w:r>
          </w:p>
        </w:tc>
        <w:tc>
          <w:tcPr>
            <w:tcW w:type="dxa" w:w="2880"/>
          </w:tcPr>
          <w:p>
            <w:r>
              <w:rPr>
                <w:b/>
                <w:sz w:val="18"/>
              </w:rPr>
              <w:t>Detail</w:t>
            </w:r>
          </w:p>
        </w:tc>
      </w:tr>
      <w:tr>
        <w:tc>
          <w:tcPr>
            <w:tcW w:type="dxa" w:w="2880"/>
          </w:tcPr>
          <w:p>
            <w:r>
              <w:rPr>
                <w:sz w:val="18"/>
              </w:rPr>
              <w:t>Clinical Workflows</w:t>
            </w:r>
          </w:p>
        </w:tc>
        <w:tc>
          <w:tcPr>
            <w:tcW w:type="dxa" w:w="2880"/>
          </w:tcPr>
          <w:p>
            <w:r>
              <w:rPr>
                <w:sz w:val="18"/>
              </w:rPr>
              <w:t>8</w:t>
            </w:r>
          </w:p>
        </w:tc>
        <w:tc>
          <w:tcPr>
            <w:tcW w:type="dxa" w:w="2880"/>
          </w:tcPr>
          <w:p>
            <w:r>
              <w:rPr>
                <w:sz w:val="18"/>
              </w:rPr>
              <w:t>Acute Stroke, Dementia, Epilepsy, Brain Tumor, MS, Parkinson's, Headache, Neuromuscular</w:t>
            </w:r>
          </w:p>
        </w:tc>
      </w:tr>
      <w:tr>
        <w:tc>
          <w:tcPr>
            <w:tcW w:type="dxa" w:w="2880"/>
          </w:tcPr>
          <w:p>
            <w:r>
              <w:rPr>
                <w:sz w:val="18"/>
              </w:rPr>
              <w:t>Clinical Scale Calculators</w:t>
            </w:r>
          </w:p>
        </w:tc>
        <w:tc>
          <w:tcPr>
            <w:tcW w:type="dxa" w:w="2880"/>
          </w:tcPr>
          <w:p>
            <w:r>
              <w:rPr>
                <w:sz w:val="18"/>
              </w:rPr>
              <w:t>10</w:t>
            </w:r>
          </w:p>
        </w:tc>
        <w:tc>
          <w:tcPr>
            <w:tcW w:type="dxa" w:w="2880"/>
          </w:tcPr>
          <w:p>
            <w:r>
              <w:rPr>
                <w:sz w:val="18"/>
              </w:rPr>
              <w:t>NIHSS, GCS, MoCA, UPDRS, EDSS, mRS, HIT-6, ALSFRS-R, ASPECTS, Hoehn &amp; Yahr</w:t>
            </w:r>
          </w:p>
        </w:tc>
      </w:tr>
      <w:tr>
        <w:tc>
          <w:tcPr>
            <w:tcW w:type="dxa" w:w="2880"/>
          </w:tcPr>
          <w:p>
            <w:r>
              <w:rPr>
                <w:sz w:val="18"/>
              </w:rPr>
              <w:t>Vector Collections</w:t>
            </w:r>
          </w:p>
        </w:tc>
        <w:tc>
          <w:tcPr>
            <w:tcW w:type="dxa" w:w="2880"/>
          </w:tcPr>
          <w:p>
            <w:r>
              <w:rPr>
                <w:sz w:val="18"/>
              </w:rPr>
              <w:t>14</w:t>
            </w:r>
          </w:p>
        </w:tc>
        <w:tc>
          <w:tcPr>
            <w:tcW w:type="dxa" w:w="2880"/>
          </w:tcPr>
          <w:p>
            <w:r>
              <w:rPr>
                <w:sz w:val="18"/>
              </w:rPr>
              <w:t>13 neuro-specific + 1 shared genomic_evidence</w:t>
            </w:r>
          </w:p>
        </w:tc>
      </w:tr>
      <w:tr>
        <w:tc>
          <w:tcPr>
            <w:tcW w:type="dxa" w:w="2880"/>
          </w:tcPr>
          <w:p>
            <w:r>
              <w:rPr>
                <w:sz w:val="18"/>
              </w:rPr>
              <w:t>Neurological Domains</w:t>
            </w:r>
          </w:p>
        </w:tc>
        <w:tc>
          <w:tcPr>
            <w:tcW w:type="dxa" w:w="2880"/>
          </w:tcPr>
          <w:p>
            <w:r>
              <w:rPr>
                <w:sz w:val="18"/>
              </w:rPr>
              <w:t>10</w:t>
            </w:r>
          </w:p>
        </w:tc>
        <w:tc>
          <w:tcPr>
            <w:tcW w:type="dxa" w:w="2880"/>
          </w:tcPr>
          <w:p>
            <w:r>
              <w:rPr>
                <w:sz w:val="18"/>
              </w:rPr>
              <w:t>Cerebrovascular, neurodegenerative, epilepsy, MS, neuro-oncology, movement, headache, neuromuscular, sleep, neuroimmunology</w:t>
            </w:r>
          </w:p>
        </w:tc>
      </w:tr>
      <w:tr>
        <w:tc>
          <w:tcPr>
            <w:tcW w:type="dxa" w:w="2880"/>
          </w:tcPr>
          <w:p>
            <w:r>
              <w:rPr>
                <w:sz w:val="18"/>
              </w:rPr>
              <w:t>Neurodegenerative Diseases</w:t>
            </w:r>
          </w:p>
        </w:tc>
        <w:tc>
          <w:tcPr>
            <w:tcW w:type="dxa" w:w="2880"/>
          </w:tcPr>
          <w:p>
            <w:r>
              <w:rPr>
                <w:sz w:val="18"/>
              </w:rPr>
              <w:t>15</w:t>
            </w:r>
          </w:p>
        </w:tc>
        <w:tc>
          <w:tcPr>
            <w:tcW w:type="dxa" w:w="2880"/>
          </w:tcPr>
          <w:p>
            <w:r>
              <w:rPr>
                <w:sz w:val="18"/>
              </w:rPr>
              <w:t>AD (early/late), FTD (3 variants), DLB, PD, ALS, HD, MSA, PSP, CBD, CJD</w:t>
            </w:r>
          </w:p>
        </w:tc>
      </w:tr>
      <w:tr>
        <w:tc>
          <w:tcPr>
            <w:tcW w:type="dxa" w:w="2880"/>
          </w:tcPr>
          <w:p>
            <w:r>
              <w:rPr>
                <w:sz w:val="18"/>
              </w:rPr>
              <w:t>Epilepsy Syndromes</w:t>
            </w:r>
          </w:p>
        </w:tc>
        <w:tc>
          <w:tcPr>
            <w:tcW w:type="dxa" w:w="2880"/>
          </w:tcPr>
          <w:p>
            <w:r>
              <w:rPr>
                <w:sz w:val="18"/>
              </w:rPr>
              <w:t>12</w:t>
            </w:r>
          </w:p>
        </w:tc>
        <w:tc>
          <w:tcPr>
            <w:tcW w:type="dxa" w:w="2880"/>
          </w:tcPr>
          <w:p>
            <w:r>
              <w:rPr>
                <w:sz w:val="18"/>
              </w:rPr>
              <w:t>Dravet to GLUT1 deficiency with ASM contraindication warnings</w:t>
            </w:r>
          </w:p>
        </w:tc>
      </w:tr>
      <w:tr>
        <w:tc>
          <w:tcPr>
            <w:tcW w:type="dxa" w:w="2880"/>
          </w:tcPr>
          <w:p>
            <w:r>
              <w:rPr>
                <w:sz w:val="18"/>
              </w:rPr>
              <w:t>Stroke Protocols</w:t>
            </w:r>
          </w:p>
        </w:tc>
        <w:tc>
          <w:tcPr>
            <w:tcW w:type="dxa" w:w="2880"/>
          </w:tcPr>
          <w:p>
            <w:r>
              <w:rPr>
                <w:sz w:val="18"/>
              </w:rPr>
              <w:t>6</w:t>
            </w:r>
          </w:p>
        </w:tc>
        <w:tc>
          <w:tcPr>
            <w:tcW w:type="dxa" w:w="2880"/>
          </w:tcPr>
          <w:p>
            <w:r>
              <w:rPr>
                <w:sz w:val="18"/>
              </w:rPr>
              <w:t>tPA, DAWN, DEFUSE-3, hemorrhagic, SAH, TIA</w:t>
            </w:r>
          </w:p>
        </w:tc>
      </w:tr>
      <w:tr>
        <w:tc>
          <w:tcPr>
            <w:tcW w:type="dxa" w:w="2880"/>
          </w:tcPr>
          <w:p>
            <w:r>
              <w:rPr>
                <w:sz w:val="18"/>
              </w:rPr>
              <w:t>Headache Classifications</w:t>
            </w:r>
          </w:p>
        </w:tc>
        <w:tc>
          <w:tcPr>
            <w:tcW w:type="dxa" w:w="2880"/>
          </w:tcPr>
          <w:p>
            <w:r>
              <w:rPr>
                <w:sz w:val="18"/>
              </w:rPr>
              <w:t>8</w:t>
            </w:r>
          </w:p>
        </w:tc>
        <w:tc>
          <w:tcPr>
            <w:tcW w:type="dxa" w:w="2880"/>
          </w:tcPr>
          <w:p>
            <w:r>
              <w:rPr>
                <w:sz w:val="18"/>
              </w:rPr>
              <w:t>Per ICHD-3 with acute and preventive treatment</w:t>
            </w:r>
          </w:p>
        </w:tc>
      </w:tr>
      <w:tr>
        <w:tc>
          <w:tcPr>
            <w:tcW w:type="dxa" w:w="2880"/>
          </w:tcPr>
          <w:p>
            <w:r>
              <w:rPr>
                <w:sz w:val="18"/>
              </w:rPr>
              <w:t>MS DMT Tiers</w:t>
            </w:r>
          </w:p>
        </w:tc>
        <w:tc>
          <w:tcPr>
            <w:tcW w:type="dxa" w:w="2880"/>
          </w:tcPr>
          <w:p>
            <w:r>
              <w:rPr>
                <w:sz w:val="18"/>
              </w:rPr>
              <w:t>3</w:t>
            </w:r>
          </w:p>
        </w:tc>
        <w:tc>
          <w:tcPr>
            <w:tcW w:type="dxa" w:w="2880"/>
          </w:tcPr>
          <w:p>
            <w:r>
              <w:rPr>
                <w:sz w:val="18"/>
              </w:rPr>
              <w:t>Platform, moderate, high-efficacy with 12+ drugs</w:t>
            </w:r>
          </w:p>
        </w:tc>
      </w:tr>
      <w:tr>
        <w:tc>
          <w:tcPr>
            <w:tcW w:type="dxa" w:w="2880"/>
          </w:tcPr>
          <w:p>
            <w:r>
              <w:rPr>
                <w:sz w:val="18"/>
              </w:rPr>
              <w:t>Agent Conditions</w:t>
            </w:r>
          </w:p>
        </w:tc>
        <w:tc>
          <w:tcPr>
            <w:tcW w:type="dxa" w:w="2880"/>
          </w:tcPr>
          <w:p>
            <w:r>
              <w:rPr>
                <w:sz w:val="18"/>
              </w:rPr>
              <w:t>58</w:t>
            </w:r>
          </w:p>
        </w:tc>
        <w:tc>
          <w:tcPr>
            <w:tcW w:type="dxa" w:w="2880"/>
          </w:tcPr>
          <w:p>
            <w:r>
              <w:rPr>
                <w:sz w:val="18"/>
              </w:rPr>
              <w:t>Across all 10 neurological domains</w:t>
            </w:r>
          </w:p>
        </w:tc>
      </w:tr>
      <w:tr>
        <w:tc>
          <w:tcPr>
            <w:tcW w:type="dxa" w:w="2880"/>
          </w:tcPr>
          <w:p>
            <w:r>
              <w:rPr>
                <w:sz w:val="18"/>
              </w:rPr>
              <w:t>Drugs Tracked</w:t>
            </w:r>
          </w:p>
        </w:tc>
        <w:tc>
          <w:tcPr>
            <w:tcW w:type="dxa" w:w="2880"/>
          </w:tcPr>
          <w:p>
            <w:r>
              <w:rPr>
                <w:sz w:val="18"/>
              </w:rPr>
              <w:t>43</w:t>
            </w:r>
          </w:p>
        </w:tc>
        <w:tc>
          <w:tcPr>
            <w:tcW w:type="dxa" w:w="2880"/>
          </w:tcPr>
          <w:p>
            <w:r>
              <w:rPr>
                <w:sz w:val="18"/>
              </w:rPr>
              <w:t>From lecanemab to ganaxolone with mechanisms and key trials</w:t>
            </w:r>
          </w:p>
        </w:tc>
      </w:tr>
      <w:tr>
        <w:tc>
          <w:tcPr>
            <w:tcW w:type="dxa" w:w="2880"/>
          </w:tcPr>
          <w:p>
            <w:r>
              <w:rPr>
                <w:sz w:val="18"/>
              </w:rPr>
              <w:t>Genes</w:t>
            </w:r>
          </w:p>
        </w:tc>
        <w:tc>
          <w:tcPr>
            <w:tcW w:type="dxa" w:w="2880"/>
          </w:tcPr>
          <w:p>
            <w:r>
              <w:rPr>
                <w:sz w:val="18"/>
              </w:rPr>
              <w:t>38</w:t>
            </w:r>
          </w:p>
        </w:tc>
        <w:tc>
          <w:tcPr>
            <w:tcW w:type="dxa" w:w="2880"/>
          </w:tcPr>
          <w:p>
            <w:r>
              <w:rPr>
                <w:sz w:val="18"/>
              </w:rPr>
              <w:t>From APP/PSEN1 (AD) to SCN1A (Dravet) to IDH1 (glioma)</w:t>
            </w:r>
          </w:p>
        </w:tc>
      </w:tr>
      <w:tr>
        <w:tc>
          <w:tcPr>
            <w:tcW w:type="dxa" w:w="2880"/>
          </w:tcPr>
          <w:p>
            <w:r>
              <w:rPr>
                <w:sz w:val="18"/>
              </w:rPr>
              <w:t>Biomarkers</w:t>
            </w:r>
          </w:p>
        </w:tc>
        <w:tc>
          <w:tcPr>
            <w:tcW w:type="dxa" w:w="2880"/>
          </w:tcPr>
          <w:p>
            <w:r>
              <w:rPr>
                <w:sz w:val="18"/>
              </w:rPr>
              <w:t>21</w:t>
            </w:r>
          </w:p>
        </w:tc>
        <w:tc>
          <w:tcPr>
            <w:tcW w:type="dxa" w:w="2880"/>
          </w:tcPr>
          <w:p>
            <w:r>
              <w:rPr>
                <w:sz w:val="18"/>
              </w:rPr>
              <w:t>Aβ42, p-tau181, NfL, GFAP, CSF OCB, DaT-SPECT, amyloid PET, orexin</w:t>
            </w:r>
          </w:p>
        </w:tc>
      </w:tr>
      <w:tr>
        <w:tc>
          <w:tcPr>
            <w:tcW w:type="dxa" w:w="2880"/>
          </w:tcPr>
          <w:p>
            <w:r>
              <w:rPr>
                <w:sz w:val="18"/>
              </w:rPr>
              <w:t>Query Synonym Maps</w:t>
            </w:r>
          </w:p>
        </w:tc>
        <w:tc>
          <w:tcPr>
            <w:tcW w:type="dxa" w:w="2880"/>
          </w:tcPr>
          <w:p>
            <w:r>
              <w:rPr>
                <w:sz w:val="18"/>
              </w:rPr>
              <w:t>16</w:t>
            </w:r>
          </w:p>
        </w:tc>
        <w:tc>
          <w:tcPr>
            <w:tcW w:type="dxa" w:w="2880"/>
          </w:tcPr>
          <w:p>
            <w:r>
              <w:rPr>
                <w:sz w:val="18"/>
              </w:rPr>
              <w:t>251 entity aliases across all neuro domains</w:t>
            </w:r>
          </w:p>
        </w:tc>
      </w:tr>
      <w:tr>
        <w:tc>
          <w:tcPr>
            <w:tcW w:type="dxa" w:w="2880"/>
          </w:tcPr>
          <w:p>
            <w:r>
              <w:rPr>
                <w:sz w:val="18"/>
              </w:rPr>
              <w:t>Seed Data</w:t>
            </w:r>
          </w:p>
        </w:tc>
        <w:tc>
          <w:tcPr>
            <w:tcW w:type="dxa" w:w="2880"/>
          </w:tcPr>
          <w:p>
            <w:r>
              <w:rPr>
                <w:sz w:val="18"/>
              </w:rPr>
              <w:t>164 records</w:t>
            </w:r>
          </w:p>
        </w:tc>
        <w:tc>
          <w:tcPr>
            <w:tcW w:type="dxa" w:w="2880"/>
          </w:tcPr>
          <w:p>
            <w:r>
              <w:rPr>
                <w:sz w:val="18"/>
              </w:rPr>
              <w:t>49 landmark papers + 70 imaging protocols + 45 EEG patterns</w:t>
            </w:r>
          </w:p>
        </w:tc>
      </w:tr>
      <w:tr>
        <w:tc>
          <w:tcPr>
            <w:tcW w:type="dxa" w:w="2880"/>
          </w:tcPr>
          <w:p>
            <w:r>
              <w:rPr>
                <w:sz w:val="18"/>
              </w:rPr>
              <w:t>API Endpoints</w:t>
            </w:r>
          </w:p>
        </w:tc>
        <w:tc>
          <w:tcPr>
            <w:tcW w:type="dxa" w:w="2880"/>
          </w:tcPr>
          <w:p>
            <w:r>
              <w:rPr>
                <w:sz w:val="18"/>
              </w:rPr>
              <w:t>24</w:t>
            </w:r>
          </w:p>
        </w:tc>
        <w:tc>
          <w:tcPr>
            <w:tcW w:type="dxa" w:w="2880"/>
          </w:tcPr>
          <w:p>
            <w:r>
              <w:rPr>
                <w:sz w:val="18"/>
              </w:rPr>
              <w:t>REST API with auth, rate limiting, SSE events</w:t>
            </w:r>
          </w:p>
        </w:tc>
      </w:tr>
      <w:tr>
        <w:tc>
          <w:tcPr>
            <w:tcW w:type="dxa" w:w="2880"/>
          </w:tcPr>
          <w:p>
            <w:r>
              <w:rPr>
                <w:sz w:val="18"/>
              </w:rPr>
              <w:t>Tests</w:t>
            </w:r>
          </w:p>
        </w:tc>
        <w:tc>
          <w:tcPr>
            <w:tcW w:type="dxa" w:w="2880"/>
          </w:tcPr>
          <w:p>
            <w:r>
              <w:rPr>
                <w:sz w:val="18"/>
              </w:rPr>
              <w:t>208</w:t>
            </w:r>
          </w:p>
        </w:tc>
        <w:tc>
          <w:tcPr>
            <w:tcW w:type="dxa" w:w="2880"/>
          </w:tcPr>
          <w:p>
            <w:r>
              <w:rPr>
                <w:sz w:val="18"/>
              </w:rPr>
              <w:t>100% pass rate, 0.48s runtime</w:t>
            </w:r>
          </w:p>
        </w:tc>
      </w:tr>
      <w:tr>
        <w:tc>
          <w:tcPr>
            <w:tcW w:type="dxa" w:w="2880"/>
          </w:tcPr>
          <w:p>
            <w:r>
              <w:rPr>
                <w:sz w:val="18"/>
              </w:rPr>
              <w:t>Python LOC</w:t>
            </w:r>
          </w:p>
        </w:tc>
        <w:tc>
          <w:tcPr>
            <w:tcW w:type="dxa" w:w="2880"/>
          </w:tcPr>
          <w:p>
            <w:r>
              <w:rPr>
                <w:sz w:val="18"/>
              </w:rPr>
              <w:t>22,352</w:t>
            </w:r>
          </w:p>
        </w:tc>
        <w:tc>
          <w:tcPr>
            <w:tcW w:type="dxa" w:w="2880"/>
          </w:tcPr>
          <w:p>
            <w:r>
              <w:rPr>
                <w:sz w:val="18"/>
              </w:rPr>
              <w:t>40 files across all layers</w:t>
            </w:r>
          </w:p>
        </w:tc>
      </w:tr>
      <w:tr>
        <w:tc>
          <w:tcPr>
            <w:tcW w:type="dxa" w:w="2880"/>
          </w:tcPr>
          <w:p>
            <w:r>
              <w:rPr>
                <w:sz w:val="18"/>
              </w:rPr>
              <w:t>Documentation</w:t>
            </w:r>
          </w:p>
        </w:tc>
        <w:tc>
          <w:tcPr>
            <w:tcW w:type="dxa" w:w="2880"/>
          </w:tcPr>
          <w:p>
            <w:r>
              <w:rPr>
                <w:sz w:val="18"/>
              </w:rPr>
              <w:t>10 + 9</w:t>
            </w:r>
          </w:p>
        </w:tc>
        <w:tc>
          <w:tcPr>
            <w:tcW w:type="dxa" w:w="2880"/>
          </w:tcPr>
          <w:p>
            <w:r>
              <w:rPr>
                <w:sz w:val="18"/>
              </w:rPr>
              <w:t>10 markdown + 9 DOCX, deployed to GitHub and Netlify</w:t>
            </w:r>
          </w:p>
        </w:tc>
      </w:tr>
      <w:tr>
        <w:tc>
          <w:tcPr>
            <w:tcW w:type="dxa" w:w="2880"/>
          </w:tcPr>
          <w:p>
            <w:r>
              <w:rPr>
                <w:sz w:val="18"/>
              </w:rPr>
              <w:t>Cross-Agent Integration</w:t>
            </w:r>
          </w:p>
        </w:tc>
        <w:tc>
          <w:tcPr>
            <w:tcW w:type="dxa" w:w="2880"/>
          </w:tcPr>
          <w:p>
            <w:r>
              <w:rPr>
                <w:sz w:val="18"/>
              </w:rPr>
              <w:t>5 agents</w:t>
            </w:r>
          </w:p>
        </w:tc>
        <w:tc>
          <w:tcPr>
            <w:tcW w:type="dxa" w:w="2880"/>
          </w:tcPr>
          <w:p>
            <w:r>
              <w:rPr>
                <w:sz w:val="18"/>
              </w:rPr>
              <w:t>Imaging, Cardiology, Biomarker, Oncology, Rare Disease</w:t>
            </w:r>
          </w:p>
        </w:tc>
      </w:tr>
    </w:tbl>
    <w:p/>
    <w:p>
      <w:pPr>
        <w:pStyle w:val="Heading2"/>
      </w:pPr>
      <w:r>
        <w:rPr>
          <w:color w:val="1AAFCC"/>
          <w:sz w:val="28"/>
        </w:rPr>
        <w:t>Bottom Line</w:t>
      </w:r>
    </w:p>
    <w:p>
      <w:r>
        <w:rPr>
          <w:b/>
          <w:color w:val="333333"/>
          <w:sz w:val="20"/>
        </w:rPr>
        <w:t>Neurological disorders are the #1 cause of disability globally. 3 billion people affected. The clinical decisions that determine outcomes — tPA within 4.5 hours, the right ASM for the right epilepsy syndrome, catching atypical parkinsonism before years of wrong treatment, escalating MS therapy before irreversible disability — require specialized expertise that exists in perhaps 200 academic centers worldwide.</w:t>
      </w:r>
    </w:p>
    <w:p>
      <w:r>
        <w:rPr>
          <w:b w:val="0"/>
          <w:color w:val="333333"/>
          <w:sz w:val="20"/>
        </w:rPr>
        <w:t>Your agent makes that expertise available to every neurologist, every emergency department, every community hospital on Earth. For $3,999. Open source. That is not incremental. That is transformational.</w:t>
      </w:r>
    </w:p>
    <w:p/>
    <w:p>
      <w:r>
        <w:rPr>
          <w:color w:val="999999"/>
          <w:sz w:val="16"/>
        </w:rPr>
        <w:t>HCLS AI Factory — Neurology Intelligence Agent v2.0.0 | March 2026 | Adam Jones</w:t>
      </w:r>
      <w:r>
        <w:rPr>
          <w:color w:val="999999"/>
          <w:sz w:val="16"/>
        </w:rPr>
        <w:br/>
        <w:t>Apache 2.0 License | NVIDIA DGX Spark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