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120"/>
      </w:pPr>
      <w:r>
        <w:rPr>
          <w:rFonts w:ascii="Calibri" w:hAnsi="Calibri"/>
          <w:color w:val="1AAFCC"/>
          <w:sz w:val="26"/>
        </w:rPr>
        <w:t>White paper</w:t>
      </w:r>
    </w:p>
    <w:p>
      <w:pPr>
        <w:spacing w:after="160" w:line="264" w:lineRule="auto"/>
      </w:pPr>
      <w:r>
        <w:rPr>
          <w:rFonts w:ascii="Calibri" w:hAnsi="Calibri"/>
          <w:b/>
          <w:color w:val="1B2333"/>
          <w:sz w:val="72"/>
        </w:rPr>
        <w:t>Precision Biomarker Agent</w:t>
        <w:br/>
        <w:t>in the HCLS AI Factory</w:t>
      </w:r>
    </w:p>
    <w:p>
      <w:pPr>
        <w:spacing w:after="80"/>
      </w:pPr>
      <w:r>
        <w:rPr>
          <w:rFonts w:ascii="Calibri" w:hAnsi="Calibri"/>
          <w:color w:val="1B2333"/>
          <w:sz w:val="32"/>
        </w:rPr>
        <w:t>Blood Biomarkers + Genomic Variants → Personalized Health Intelligence</w:t>
      </w:r>
    </w:p>
    <w:p>
      <w:pPr>
        <w:spacing w:after="80"/>
      </w:pPr>
      <w:r>
        <w:rPr>
          <w:rFonts w:ascii="Calibri" w:hAnsi="Calibri"/>
          <w:color w:val="1B2333"/>
          <w:sz w:val="32"/>
        </w:rPr>
        <w:t>Powered by NVIDIA Accelerated Computing and VAST AI OS</w:t>
      </w:r>
    </w:p>
    <w:p>
      <w:pPr>
        <w:spacing w:after="0" w:before="0"/>
      </w:pPr>
    </w:p>
    <w:p>
      <w:pPr>
        <w:spacing w:after="0" w:before="0"/>
      </w:pPr>
    </w:p>
    <w:p>
      <w:pPr>
        <w:spacing w:after="0" w:before="0"/>
      </w:pPr>
    </w:p>
    <w:p>
      <w:pPr>
        <w:spacing w:after="40"/>
      </w:pPr>
      <w:r>
        <w:rPr>
          <w:rFonts w:ascii="Calibri" w:hAnsi="Calibri"/>
          <w:color w:val="666666"/>
          <w:sz w:val="18"/>
        </w:rPr>
        <w:t>01/26  |  Version 1.0</w:t>
      </w:r>
    </w:p>
    <w:p>
      <w:pPr>
        <w:spacing w:after="40"/>
      </w:pPr>
      <w:r>
        <w:rPr>
          <w:rFonts w:ascii="Calibri" w:hAnsi="Calibri"/>
          <w:color w:val="666666"/>
          <w:sz w:val="18"/>
        </w:rPr>
        <w:t>Author: Adam Jones</w:t>
      </w:r>
    </w:p>
    <w:p>
      <w:r>
        <w:br w:type="page"/>
      </w:r>
    </w:p>
    <w:p>
      <w:pPr>
        <w:pStyle w:val="Heading1"/>
      </w:pPr>
      <w:r>
        <w:t>Executive Summary</w:t>
      </w:r>
    </w:p>
    <w:p>
      <w:pPr/>
      <w:r>
        <w:t>The HCLS AI Factory has established a repeatable architectural pattern: create a canonical artifact early, keep it continuously computable, and let downstream agents reason over it without reinterpretation. In genomics, that artifact is the VCF. In imaging, it is the canonical imaging study plus its derived state. For precision biomarkers, the canonical artifact is the patient’s longitudinal blood biomarker profile fused with their genomic variant context—a continuously enrichable substrate for personalized health intelligence.</w:t>
      </w:r>
    </w:p>
    <w:p>
      <w:pPr/>
      <w:r>
        <w:t>This paper proposes a Precision Biomarker Agent inside the HCLS AI Factory that ingests comprehensive blood panel results (160+ analytes from providers such as Function Health), correlates them with genomic variant data (MTHFR, APOE, TCF7L2, PCSK9, PNPLA3, HFE, FADS1/FADS2, DIO2, and others), and produces structured, evidence-grounded health intelligence—biological age estimation, pre-symptomatic disease trajectory modeling, genotype-adjusted reference ranges, pharmacogenomic guidance, and personalized intervention plans—all within VAST AI OS as the unified operating layer.</w:t>
      </w:r>
    </w:p>
    <w:p>
      <w:pPr/>
      <w:r>
        <w:t>The central thesis is that standard reference ranges are population averages that obscure individual genetic reality. A person with a PNPLA3 I148M variant may have “normal” ALT while accumulating liver fat. A TCF7L2 TT carrier may have “normal” fasting glucose while their beta cells are already failing. A DIO2 Thr92Ala carrier may have “normal” TSH while experiencing subclinical hypothyroid symptoms. The Precision Biomarker Agent replaces population-averaged interpretation with genotype-aware, individually calibrated health intelligence.</w:t>
      </w:r>
    </w:p>
    <w:p>
      <w:pPr>
        <w:pStyle w:val="Heading1"/>
      </w:pPr>
      <w:r>
        <w:t>Blood Biomarkers as Canonical Evidence</w:t>
      </w:r>
    </w:p>
    <w:p>
      <w:pPr/>
      <w:r>
        <w:t>Comprehensive blood panels generate the richest single-source snapshot of human physiology available in routine care. A panel of 160+ analytes spanning complete blood count, metabolic markers, lipids, liver function, kidney function, thyroid, inflammation, hormones, nutrients, environmental toxins, autoimmune markers, and multi-cancer early detection (Galleri) captures signals from virtually every organ system.</w:t>
      </w:r>
    </w:p>
    <w:p>
      <w:pPr/>
      <w:r>
        <w:t>Yet most biomarker interpretation today remains primitive: compare each value to a population reference range, flag highs and lows, and leave the patient or clinician to synthesize across systems. This approach fails in predictable ways:</w:t>
      </w:r>
    </w:p>
    <w:p>
      <w:pPr>
        <w:pStyle w:val="ListBullet"/>
      </w:pPr>
      <w:r>
        <w:rPr>
          <w:rFonts w:ascii="Calibri" w:hAnsi="Calibri"/>
          <w:b/>
          <w:color w:val="333333"/>
          <w:sz w:val="21"/>
        </w:rPr>
        <w:t xml:space="preserve">Genetic context is ignored: </w:t>
      </w:r>
      <w:r>
        <w:rPr>
          <w:rFonts w:ascii="Calibri" w:hAnsi="Calibri"/>
          <w:color w:val="333333"/>
          <w:sz w:val="21"/>
        </w:rPr>
        <w:t>reference ranges are population averages that do not account for individual genetic variants affecting metabolism, clearance, or disease susceptibility. A “normal” value may be pathological for a specific genotype.</w:t>
      </w:r>
    </w:p>
    <w:p>
      <w:pPr>
        <w:pStyle w:val="ListBullet"/>
      </w:pPr>
      <w:r>
        <w:rPr>
          <w:rFonts w:ascii="Calibri" w:hAnsi="Calibri"/>
          <w:b/>
          <w:color w:val="333333"/>
          <w:sz w:val="21"/>
        </w:rPr>
        <w:t xml:space="preserve">Cross-system correlations are missed: </w:t>
      </w:r>
      <w:r>
        <w:rPr>
          <w:rFonts w:ascii="Calibri" w:hAnsi="Calibri"/>
          <w:color w:val="333333"/>
          <w:sz w:val="21"/>
        </w:rPr>
        <w:t>insulin resistance, inflammation, and liver function are deeply interconnected, but isolated reference range checking treats each analyte as independent.</w:t>
      </w:r>
    </w:p>
    <w:p>
      <w:pPr>
        <w:pStyle w:val="ListBullet"/>
      </w:pPr>
      <w:r>
        <w:rPr>
          <w:rFonts w:ascii="Calibri" w:hAnsi="Calibri"/>
          <w:b/>
          <w:color w:val="333333"/>
          <w:sz w:val="21"/>
        </w:rPr>
        <w:t xml:space="preserve">Longitudinal trajectories are invisible: </w:t>
      </w:r>
      <w:r>
        <w:rPr>
          <w:rFonts w:ascii="Calibri" w:hAnsi="Calibri"/>
          <w:color w:val="333333"/>
          <w:sz w:val="21"/>
        </w:rPr>
        <w:t>a single snapshot cannot reveal whether a biomarker is stable, trending toward disease, or improving in response to intervention.</w:t>
      </w:r>
    </w:p>
    <w:p>
      <w:pPr>
        <w:pStyle w:val="ListBullet"/>
      </w:pPr>
      <w:r>
        <w:rPr>
          <w:rFonts w:ascii="Calibri" w:hAnsi="Calibri"/>
          <w:b/>
          <w:color w:val="333333"/>
          <w:sz w:val="21"/>
        </w:rPr>
        <w:t xml:space="preserve">Pre-symptomatic windows are wasted: </w:t>
      </w:r>
      <w:r>
        <w:rPr>
          <w:rFonts w:ascii="Calibri" w:hAnsi="Calibri"/>
          <w:color w:val="333333"/>
          <w:sz w:val="21"/>
        </w:rPr>
        <w:t>type 2 diabetes is detectable 5–7 years before diagnosis through biomarker trajectory analysis combined with genetic risk scoring, yet most systems only flag values after they cross clinical thresholds.</w:t>
      </w:r>
    </w:p>
    <w:p>
      <w:pPr/>
      <w:r>
        <w:t>The Precision Biomarker Agent treats blood panel data as canonical—structured, versioned, longitudinally tracked, and continuously enrichable with genomic context—transforming routine lab results into a persistent substrate for predictive, personalized health intelligence.</w:t>
      </w:r>
    </w:p>
    <w:p>
      <w:pPr>
        <w:pStyle w:val="Heading1"/>
      </w:pPr>
      <w:r>
        <w:t>Defining the Canonical Biomarker Profile</w:t>
      </w:r>
    </w:p>
    <w:p>
      <w:pPr/>
      <w:r>
        <w:t>In the HCLS AI Factory, the canonical biomarker profile is the structured representation of a patient’s blood panel results plus their genomic variant context, stored as a continuously computable object. To be canonical, the profile must:</w:t>
      </w:r>
    </w:p>
    <w:p>
      <w:pPr>
        <w:pStyle w:val="ListBullet"/>
      </w:pPr>
      <w:r>
        <w:rPr>
          <w:rFonts w:ascii="Calibri" w:hAnsi="Calibri"/>
          <w:b/>
          <w:color w:val="333333"/>
          <w:sz w:val="21"/>
        </w:rPr>
        <w:t xml:space="preserve">Preserve raw analyte values with full metadata: </w:t>
      </w:r>
      <w:r>
        <w:rPr>
          <w:rFonts w:ascii="Calibri" w:hAnsi="Calibri"/>
          <w:color w:val="333333"/>
          <w:sz w:val="21"/>
        </w:rPr>
        <w:t>result, units, reference interval, flags, specimen type, fasting status, collection timestamp, lab vendor, and assay methodology—enabling accurate interpretation and cross-vendor normalization.</w:t>
      </w:r>
    </w:p>
    <w:p>
      <w:pPr>
        <w:pStyle w:val="ListBullet"/>
      </w:pPr>
      <w:r>
        <w:rPr>
          <w:rFonts w:ascii="Calibri" w:hAnsi="Calibri"/>
          <w:b/>
          <w:color w:val="333333"/>
          <w:sz w:val="21"/>
        </w:rPr>
        <w:t xml:space="preserve">Store genomic variants as first-class objects: </w:t>
      </w:r>
      <w:r>
        <w:rPr>
          <w:rFonts w:ascii="Calibri" w:hAnsi="Calibri"/>
          <w:color w:val="333333"/>
          <w:sz w:val="21"/>
        </w:rPr>
        <w:t>genotypes for clinically actionable variants (MTHFR C677T/A1298C, APOE alleles, TCF7L2 rs7903146, PCSK9, PNPLA3 I148M, HFE C282Y/H63D, FADS1/FADS2, DIO2 Thr92Ala, CYP2D6, CYP2C19, SLCO1B1, VKORC1) alongside population frequencies and effect sizes.</w:t>
      </w:r>
    </w:p>
    <w:p>
      <w:pPr>
        <w:pStyle w:val="ListBullet"/>
      </w:pPr>
      <w:r>
        <w:rPr>
          <w:rFonts w:ascii="Calibri" w:hAnsi="Calibri"/>
          <w:b/>
          <w:color w:val="333333"/>
          <w:sz w:val="21"/>
        </w:rPr>
        <w:t xml:space="preserve">Maintain longitudinal history: </w:t>
      </w:r>
      <w:r>
        <w:rPr>
          <w:rFonts w:ascii="Calibri" w:hAnsi="Calibri"/>
          <w:color w:val="333333"/>
          <w:sz w:val="21"/>
        </w:rPr>
        <w:t>every draw becomes a versioned record in the patient’s canonical profile, enabling trend analysis, trajectory modeling, and intervention response tracking across months and years.</w:t>
      </w:r>
    </w:p>
    <w:p>
      <w:pPr>
        <w:pStyle w:val="ListBullet"/>
      </w:pPr>
      <w:r>
        <w:rPr>
          <w:rFonts w:ascii="Calibri" w:hAnsi="Calibri"/>
          <w:b/>
          <w:color w:val="333333"/>
          <w:sz w:val="21"/>
        </w:rPr>
        <w:t xml:space="preserve">Compute derived indices: </w:t>
      </w:r>
      <w:r>
        <w:rPr>
          <w:rFonts w:ascii="Calibri" w:hAnsi="Calibri"/>
          <w:color w:val="333333"/>
          <w:sz w:val="21"/>
        </w:rPr>
        <w:t>HOMA-IR (insulin resistance), triglyceride/HDL ratio, neutrophil-to-lymphocyte ratio (NLR), PhenoAge (biological age), FIB-4 (liver fibrosis), and other clinically validated composite scores—stored as derived artifacts with provenance.</w:t>
      </w:r>
    </w:p>
    <w:p>
      <w:pPr>
        <w:pStyle w:val="ListBullet"/>
      </w:pPr>
      <w:r>
        <w:rPr>
          <w:rFonts w:ascii="Calibri" w:hAnsi="Calibri"/>
          <w:b/>
          <w:color w:val="333333"/>
          <w:sz w:val="21"/>
        </w:rPr>
        <w:t xml:space="preserve">Attach provenance to every interpretation: </w:t>
      </w:r>
      <w:r>
        <w:rPr>
          <w:rFonts w:ascii="Calibri" w:hAnsi="Calibri"/>
          <w:color w:val="333333"/>
          <w:sz w:val="21"/>
        </w:rPr>
        <w:t>model ID, version, evidence sources, confidence levels, and clinical guideline references—supporting audit, reproducibility, and controlled reprocessing as models improve.</w:t>
      </w:r>
    </w:p>
    <w:p>
      <w:pPr/>
      <w:r>
        <w:t>This mirrors the canonical patterns established in genomics (VCF) and imaging (canonical imaging state): the biomarker profile is not the end product—it is the substrate that unlocks downstream reasoning, prediction, and personalized intervention.</w:t>
      </w:r>
    </w:p>
    <w:p>
      <w:pPr>
        <w:pStyle w:val="Heading1"/>
      </w:pPr>
      <w:r>
        <w:t>What the Precision Biomarker Agent Must Do</w:t>
      </w:r>
    </w:p>
    <w:p>
      <w:pPr/>
      <w:r>
        <w:t>The Precision Biomarker Agent is not a simple reference range checker. It is a multi-module reasoning system that operates on canonical biomarker profiles enriched with genomic context. At minimum, it must:</w:t>
      </w:r>
    </w:p>
    <w:p>
      <w:pPr>
        <w:pStyle w:val="ListBullet"/>
      </w:pPr>
      <w:r>
        <w:rPr>
          <w:rFonts w:ascii="Calibri" w:hAnsi="Calibri"/>
          <w:b/>
          <w:color w:val="333333"/>
          <w:sz w:val="21"/>
        </w:rPr>
        <w:t xml:space="preserve">Ingest and normalize panel results </w:t>
      </w:r>
      <w:r>
        <w:rPr>
          <w:rFonts w:ascii="Calibri" w:hAnsi="Calibri"/>
          <w:color w:val="333333"/>
          <w:sz w:val="21"/>
        </w:rPr>
        <w:t>across lab vendors, assay methodologies, and unit systems—creating a canonical biomarker record with standardized units, validated metadata, and quality flags.</w:t>
      </w:r>
    </w:p>
    <w:p>
      <w:pPr>
        <w:pStyle w:val="ListBullet"/>
      </w:pPr>
      <w:r>
        <w:rPr>
          <w:rFonts w:ascii="Calibri" w:hAnsi="Calibri"/>
          <w:b/>
          <w:color w:val="333333"/>
          <w:sz w:val="21"/>
        </w:rPr>
        <w:t xml:space="preserve">Calculate biological age </w:t>
      </w:r>
      <w:r>
        <w:rPr>
          <w:rFonts w:ascii="Calibri" w:hAnsi="Calibri"/>
          <w:color w:val="333333"/>
          <w:sz w:val="21"/>
        </w:rPr>
        <w:t>using validated epigenetic clock correlations (PhenoAge from Levine et al. 2018: albumin, creatinine, glucose, hs-CRP, lymphocyte %, MCV, RDW, alkaline phosphatase, WBC; GrimAge surrogates: GDF-15, cystatin C, leptin, PAI-1, TIMP-1, adrenomedullin, beta-2-microglobulin) and identify which biomarkers are driving age acceleration.</w:t>
      </w:r>
    </w:p>
    <w:p>
      <w:pPr>
        <w:pStyle w:val="ListBullet"/>
      </w:pPr>
      <w:r>
        <w:rPr>
          <w:rFonts w:ascii="Calibri" w:hAnsi="Calibri"/>
          <w:b/>
          <w:color w:val="333333"/>
          <w:sz w:val="21"/>
        </w:rPr>
        <w:t xml:space="preserve">Detect pre-symptomatic disease trajectories </w:t>
      </w:r>
      <w:r>
        <w:rPr>
          <w:rFonts w:ascii="Calibri" w:hAnsi="Calibri"/>
          <w:color w:val="333333"/>
          <w:sz w:val="21"/>
        </w:rPr>
        <w:t>by correlating biomarker trends with genetic risk scores—identifying progression toward type 2 diabetes (HOMA-IR + TCF7L2/PPARG/SLC30A8), cardiovascular disease (ApoB + Lp(a) + PCSK9/LPA/APOE), liver disease (ALT/AST/GGT + PNPLA3/TM6SF2), and autoimmune conditions (TPO antibodies + HLA context).</w:t>
      </w:r>
    </w:p>
    <w:p>
      <w:pPr>
        <w:pStyle w:val="ListBullet"/>
      </w:pPr>
      <w:r>
        <w:rPr>
          <w:rFonts w:ascii="Calibri" w:hAnsi="Calibri"/>
          <w:b/>
          <w:color w:val="333333"/>
          <w:sz w:val="21"/>
        </w:rPr>
        <w:t xml:space="preserve">Apply genotype-adjusted reference ranges: </w:t>
      </w:r>
      <w:r>
        <w:rPr>
          <w:rFonts w:ascii="Calibri" w:hAnsi="Calibri"/>
          <w:color w:val="333333"/>
          <w:sz w:val="21"/>
        </w:rPr>
        <w:t>PNPLA3 I148M carriers need lower ALT thresholds for liver fat detection; DIO2 Thr92Ala carriers may need higher FT3 targets; HFE C282Y homozygotes need aggressive ferritin monitoring; FADS1/FADS2 variants alter optimal omega-3/omega-6 ratios.</w:t>
      </w:r>
    </w:p>
    <w:p>
      <w:pPr>
        <w:pStyle w:val="ListBullet"/>
      </w:pPr>
      <w:r>
        <w:rPr>
          <w:rFonts w:ascii="Calibri" w:hAnsi="Calibri"/>
          <w:b/>
          <w:color w:val="333333"/>
          <w:sz w:val="21"/>
        </w:rPr>
        <w:t xml:space="preserve">Perform multi-pathway risk integration: </w:t>
      </w:r>
      <w:r>
        <w:rPr>
          <w:rFonts w:ascii="Calibri" w:hAnsi="Calibri"/>
          <w:color w:val="333333"/>
          <w:sz w:val="21"/>
        </w:rPr>
        <w:t>connecting inflammation (hs-CRP + NLR + IL-6 genetics), metabolism (insulin resistance + glucose trajectory), cardiovascular (lipid genetics + vascular aging), liver (enzyme genetics + fibrosis scoring), and thyroid (autoimmune + conversion genetics) into a unified risk landscape.</w:t>
      </w:r>
    </w:p>
    <w:p>
      <w:pPr>
        <w:pStyle w:val="ListBullet"/>
      </w:pPr>
      <w:r>
        <w:rPr>
          <w:rFonts w:ascii="Calibri" w:hAnsi="Calibri"/>
          <w:b/>
          <w:color w:val="333333"/>
          <w:sz w:val="21"/>
        </w:rPr>
        <w:t xml:space="preserve">Generate pharmacogenomic guidance: </w:t>
      </w:r>
      <w:r>
        <w:rPr>
          <w:rFonts w:ascii="Calibri" w:hAnsi="Calibri"/>
          <w:color w:val="333333"/>
          <w:sz w:val="21"/>
        </w:rPr>
        <w:t>CYP2D6 metabolizer status for opioids/antidepressants, CYP2C19 for clopidogrel/PPIs, SLCO1B1 for statin myopathy risk, VKORC1 for warfarin dosing, MTHFR status to inform methylfolate considerations where compound heterozygosity or homozygosity is present and homocysteine is elevated.</w:t>
      </w:r>
    </w:p>
    <w:p>
      <w:pPr>
        <w:pStyle w:val="ListBullet"/>
      </w:pPr>
      <w:r>
        <w:rPr>
          <w:rFonts w:ascii="Calibri" w:hAnsi="Calibri"/>
          <w:b/>
          <w:color w:val="333333"/>
          <w:sz w:val="21"/>
        </w:rPr>
        <w:t xml:space="preserve">Produce structured, evidence-grounded reports </w:t>
      </w:r>
      <w:r>
        <w:rPr>
          <w:rFonts w:ascii="Calibri" w:hAnsi="Calibri"/>
          <w:color w:val="333333"/>
          <w:sz w:val="21"/>
        </w:rPr>
        <w:t>with prioritized findings, personalized intervention plans, monitoring schedules, and physician summaries—formatted for patient consumption and clinical review.</w:t>
      </w:r>
    </w:p>
    <w:p>
      <w:pPr>
        <w:pStyle w:val="Heading1"/>
      </w:pPr>
      <w:r>
        <w:t>Core Analysis Modules</w:t>
      </w:r>
    </w:p>
    <w:p>
      <w:pPr/>
      <w:r>
        <w:t>The agent operates through seven specialized analysis modules, each combining blood biomarkers with genomic context to produce insights beyond what either data source provides alone.</w:t>
      </w:r>
    </w:p>
    <w:p>
      <w:pPr>
        <w:pStyle w:val="Caption"/>
      </w:pPr>
      <w:r>
        <w:t>Table 1. Precision Biomarker Agent analysis modules.</w:t>
      </w:r>
    </w:p>
    <w:tbl>
      <w:tblPr>
        <w:tblStyle w:val="TableGrid"/>
        <w:tblW w:type="auto" w:w="0"/>
        <w:jc w:val="center"/>
        <w:tblLook w:firstColumn="1" w:firstRow="1" w:lastColumn="0" w:lastRow="0" w:noHBand="0" w:noVBand="1" w:val="04A0"/>
        <w:tblBorders>
          <w:top w:val="single" w:sz="4" w:space="0" w:color="D0D5DD"/>
          <w:left w:val="none" w:sz="0" w:space="0" w:color="auto"/>
          <w:bottom w:val="single" w:sz="4" w:space="0" w:color="D0D5DD"/>
          <w:right w:val="none" w:sz="0" w:space="0" w:color="auto"/>
          <w:insideH w:val="single" w:sz="4" w:space="0" w:color="D0D5DD"/>
          <w:insideV w:val="none" w:sz="0" w:space="0" w:color="auto"/>
        </w:tblBorders>
      </w:tblPr>
      <w:tblGrid>
        <w:gridCol w:w="2340"/>
        <w:gridCol w:w="2340"/>
        <w:gridCol w:w="2340"/>
        <w:gridCol w:w="2340"/>
      </w:tblGrid>
      <w:tr>
        <w:tc>
          <w:tcPr>
            <w:tcW w:type="dxa" w:w="2340"/>
            <w:shd w:fill="1B2333" w:val="clear"/>
          </w:tcPr>
          <w:p>
            <w:r>
              <w:rPr>
                <w:rFonts w:ascii="Calibri" w:hAnsi="Calibri"/>
                <w:b/>
                <w:color w:val="FFFFFF"/>
                <w:sz w:val="20"/>
              </w:rPr>
              <w:t>Module</w:t>
            </w:r>
          </w:p>
        </w:tc>
        <w:tc>
          <w:tcPr>
            <w:tcW w:type="dxa" w:w="2340"/>
            <w:shd w:fill="1B2333" w:val="clear"/>
          </w:tcPr>
          <w:p>
            <w:r>
              <w:rPr>
                <w:rFonts w:ascii="Calibri" w:hAnsi="Calibri"/>
                <w:b/>
                <w:color w:val="FFFFFF"/>
                <w:sz w:val="20"/>
              </w:rPr>
              <w:t>Key Biomarkers</w:t>
            </w:r>
          </w:p>
        </w:tc>
        <w:tc>
          <w:tcPr>
            <w:tcW w:type="dxa" w:w="2340"/>
            <w:shd w:fill="1B2333" w:val="clear"/>
          </w:tcPr>
          <w:p>
            <w:r>
              <w:rPr>
                <w:rFonts w:ascii="Calibri" w:hAnsi="Calibri"/>
                <w:b/>
                <w:color w:val="FFFFFF"/>
                <w:sz w:val="20"/>
              </w:rPr>
              <w:t>Key Genomic Variants</w:t>
            </w:r>
          </w:p>
        </w:tc>
        <w:tc>
          <w:tcPr>
            <w:tcW w:type="dxa" w:w="2340"/>
            <w:shd w:fill="1B2333" w:val="clear"/>
          </w:tcPr>
          <w:p>
            <w:r>
              <w:rPr>
                <w:rFonts w:ascii="Calibri" w:hAnsi="Calibri"/>
                <w:b/>
                <w:color w:val="FFFFFF"/>
                <w:sz w:val="20"/>
              </w:rPr>
              <w:t>Clinical Output</w:t>
            </w:r>
          </w:p>
        </w:tc>
      </w:tr>
      <w:tr>
        <w:tc>
          <w:tcPr>
            <w:tcW w:type="dxa" w:w="2340"/>
          </w:tcPr>
          <w:p>
            <w:pPr>
              <w:spacing w:before="80" w:after="80"/>
            </w:pPr>
            <w:r>
              <w:rPr>
                <w:rFonts w:ascii="Calibri" w:hAnsi="Calibri"/>
                <w:color w:val="333333"/>
                <w:sz w:val="20"/>
              </w:rPr>
              <w:t>Biological Age Engine</w:t>
            </w:r>
          </w:p>
        </w:tc>
        <w:tc>
          <w:tcPr>
            <w:tcW w:type="dxa" w:w="2340"/>
          </w:tcPr>
          <w:p>
            <w:pPr>
              <w:spacing w:before="80" w:after="80"/>
            </w:pPr>
            <w:r>
              <w:rPr>
                <w:rFonts w:ascii="Calibri" w:hAnsi="Calibri"/>
                <w:color w:val="333333"/>
                <w:sz w:val="20"/>
              </w:rPr>
              <w:t>Albumin, creatinine, glucose, hs-CRP, lymphocyte %, MCV, RDW, ALP, WBC, GDF-15, cystatin C</w:t>
            </w:r>
          </w:p>
        </w:tc>
        <w:tc>
          <w:tcPr>
            <w:tcW w:type="dxa" w:w="2340"/>
          </w:tcPr>
          <w:p>
            <w:pPr>
              <w:spacing w:before="80" w:after="80"/>
            </w:pPr>
            <w:r>
              <w:rPr>
                <w:rFonts w:ascii="Calibri" w:hAnsi="Calibri"/>
                <w:color w:val="333333"/>
                <w:sz w:val="20"/>
              </w:rPr>
              <w:t>GrimAge / PhenoAge correlations</w:t>
            </w:r>
          </w:p>
        </w:tc>
        <w:tc>
          <w:tcPr>
            <w:tcW w:type="dxa" w:w="2340"/>
          </w:tcPr>
          <w:p>
            <w:pPr>
              <w:spacing w:before="80" w:after="80"/>
            </w:pPr>
            <w:r>
              <w:rPr>
                <w:rFonts w:ascii="Calibri" w:hAnsi="Calibri"/>
                <w:color w:val="333333"/>
                <w:sz w:val="20"/>
              </w:rPr>
              <w:t>PhenoAge estimate, age acceleration, aging driver identification</w:t>
            </w:r>
          </w:p>
        </w:tc>
      </w:tr>
      <w:tr>
        <w:tc>
          <w:tcPr>
            <w:tcW w:type="dxa" w:w="2340"/>
          </w:tcPr>
          <w:p>
            <w:pPr>
              <w:spacing w:before="80" w:after="80"/>
            </w:pPr>
            <w:r>
              <w:rPr>
                <w:rFonts w:ascii="Calibri" w:hAnsi="Calibri"/>
                <w:color w:val="333333"/>
                <w:sz w:val="20"/>
              </w:rPr>
              <w:t>Pre-Symptomatic Disease Detection</w:t>
            </w:r>
          </w:p>
        </w:tc>
        <w:tc>
          <w:tcPr>
            <w:tcW w:type="dxa" w:w="2340"/>
          </w:tcPr>
          <w:p>
            <w:pPr>
              <w:spacing w:before="80" w:after="80"/>
            </w:pPr>
            <w:r>
              <w:rPr>
                <w:rFonts w:ascii="Calibri" w:hAnsi="Calibri"/>
                <w:color w:val="333333"/>
                <w:sz w:val="20"/>
              </w:rPr>
              <w:t>Fasting glucose, insulin, HbA1c, HOMA-IR, TG/HDL ratio</w:t>
            </w:r>
          </w:p>
        </w:tc>
        <w:tc>
          <w:tcPr>
            <w:tcW w:type="dxa" w:w="2340"/>
          </w:tcPr>
          <w:p>
            <w:pPr>
              <w:spacing w:before="80" w:after="80"/>
            </w:pPr>
            <w:r>
              <w:rPr>
                <w:rFonts w:ascii="Calibri" w:hAnsi="Calibri"/>
                <w:color w:val="333333"/>
                <w:sz w:val="20"/>
              </w:rPr>
              <w:t>TCF7L2, PPARG, SLC30A8, KCNJ11, GCKR</w:t>
            </w:r>
          </w:p>
        </w:tc>
        <w:tc>
          <w:tcPr>
            <w:tcW w:type="dxa" w:w="2340"/>
          </w:tcPr>
          <w:p>
            <w:pPr>
              <w:spacing w:before="80" w:after="80"/>
            </w:pPr>
            <w:r>
              <w:rPr>
                <w:rFonts w:ascii="Calibri" w:hAnsi="Calibri"/>
                <w:color w:val="333333"/>
                <w:sz w:val="20"/>
              </w:rPr>
              <w:t>Diabetes trajectory (years to diagnosis), reversal potential, genotype-specific interventions</w:t>
            </w:r>
          </w:p>
        </w:tc>
      </w:tr>
      <w:tr>
        <w:tc>
          <w:tcPr>
            <w:tcW w:type="dxa" w:w="2340"/>
          </w:tcPr>
          <w:p>
            <w:pPr>
              <w:spacing w:before="80" w:after="80"/>
            </w:pPr>
            <w:r>
              <w:rPr>
                <w:rFonts w:ascii="Calibri" w:hAnsi="Calibri"/>
                <w:color w:val="333333"/>
                <w:sz w:val="20"/>
              </w:rPr>
              <w:t>Advanced Cardiovascular Analysis</w:t>
            </w:r>
          </w:p>
        </w:tc>
        <w:tc>
          <w:tcPr>
            <w:tcW w:type="dxa" w:w="2340"/>
          </w:tcPr>
          <w:p>
            <w:pPr>
              <w:spacing w:before="80" w:after="80"/>
            </w:pPr>
            <w:r>
              <w:rPr>
                <w:rFonts w:ascii="Calibri" w:hAnsi="Calibri"/>
                <w:color w:val="333333"/>
                <w:sz w:val="20"/>
              </w:rPr>
              <w:t>ApoB, Lp(a), LDL-C, HDL-C, TG, hs-CRP, NLR, GDF-15</w:t>
            </w:r>
          </w:p>
        </w:tc>
        <w:tc>
          <w:tcPr>
            <w:tcW w:type="dxa" w:w="2340"/>
          </w:tcPr>
          <w:p>
            <w:pPr>
              <w:spacing w:before="80" w:after="80"/>
            </w:pPr>
            <w:r>
              <w:rPr>
                <w:rFonts w:ascii="Calibri" w:hAnsi="Calibri"/>
                <w:color w:val="333333"/>
                <w:sz w:val="20"/>
              </w:rPr>
              <w:t>PCSK9, LPA, APOE, IL6, CRP variants</w:t>
            </w:r>
          </w:p>
        </w:tc>
        <w:tc>
          <w:tcPr>
            <w:tcW w:type="dxa" w:w="2340"/>
          </w:tcPr>
          <w:p>
            <w:pPr>
              <w:spacing w:before="80" w:after="80"/>
            </w:pPr>
            <w:r>
              <w:rPr>
                <w:rFonts w:ascii="Calibri" w:hAnsi="Calibri"/>
                <w:color w:val="333333"/>
                <w:sz w:val="20"/>
              </w:rPr>
              <w:t>Multi-pathway CV risk, inflammatory phenotyping, Lp(a) genetic context, personalized targets</w:t>
            </w:r>
          </w:p>
        </w:tc>
      </w:tr>
      <w:tr>
        <w:tc>
          <w:tcPr>
            <w:tcW w:type="dxa" w:w="2340"/>
          </w:tcPr>
          <w:p>
            <w:pPr>
              <w:spacing w:before="80" w:after="80"/>
            </w:pPr>
            <w:r>
              <w:rPr>
                <w:rFonts w:ascii="Calibri" w:hAnsi="Calibri"/>
                <w:color w:val="333333"/>
                <w:sz w:val="20"/>
              </w:rPr>
              <w:t>Liver Health Genetics</w:t>
            </w:r>
          </w:p>
        </w:tc>
        <w:tc>
          <w:tcPr>
            <w:tcW w:type="dxa" w:w="2340"/>
          </w:tcPr>
          <w:p>
            <w:pPr>
              <w:spacing w:before="80" w:after="80"/>
            </w:pPr>
            <w:r>
              <w:rPr>
                <w:rFonts w:ascii="Calibri" w:hAnsi="Calibri"/>
                <w:color w:val="333333"/>
                <w:sz w:val="20"/>
              </w:rPr>
              <w:t>ALT, AST, GGT, ALP, bilirubin, albumin, FIB-4</w:t>
            </w:r>
          </w:p>
        </w:tc>
        <w:tc>
          <w:tcPr>
            <w:tcW w:type="dxa" w:w="2340"/>
          </w:tcPr>
          <w:p>
            <w:pPr>
              <w:spacing w:before="80" w:after="80"/>
            </w:pPr>
            <w:r>
              <w:rPr>
                <w:rFonts w:ascii="Calibri" w:hAnsi="Calibri"/>
                <w:color w:val="333333"/>
                <w:sz w:val="20"/>
              </w:rPr>
              <w:t>PNPLA3 I148M, TM6SF2 E167K, HSD17B13</w:t>
            </w:r>
          </w:p>
        </w:tc>
        <w:tc>
          <w:tcPr>
            <w:tcW w:type="dxa" w:w="2340"/>
          </w:tcPr>
          <w:p>
            <w:pPr>
              <w:spacing w:before="80" w:after="80"/>
            </w:pPr>
            <w:r>
              <w:rPr>
                <w:rFonts w:ascii="Calibri" w:hAnsi="Calibri"/>
                <w:color w:val="333333"/>
                <w:sz w:val="20"/>
              </w:rPr>
              <w:t>Genotype-adjusted ALT thresholds, NAFLD/MASH risk, fibrosis staging</w:t>
            </w:r>
          </w:p>
        </w:tc>
      </w:tr>
      <w:tr>
        <w:tc>
          <w:tcPr>
            <w:tcW w:type="dxa" w:w="2340"/>
          </w:tcPr>
          <w:p>
            <w:pPr>
              <w:spacing w:before="80" w:after="80"/>
            </w:pPr>
            <w:r>
              <w:rPr>
                <w:rFonts w:ascii="Calibri" w:hAnsi="Calibri"/>
                <w:color w:val="333333"/>
                <w:sz w:val="20"/>
              </w:rPr>
              <w:t>Thyroid Optimization</w:t>
            </w:r>
          </w:p>
        </w:tc>
        <w:tc>
          <w:tcPr>
            <w:tcW w:type="dxa" w:w="2340"/>
          </w:tcPr>
          <w:p>
            <w:pPr>
              <w:spacing w:before="80" w:after="80"/>
            </w:pPr>
            <w:r>
              <w:rPr>
                <w:rFonts w:ascii="Calibri" w:hAnsi="Calibri"/>
                <w:color w:val="333333"/>
                <w:sz w:val="20"/>
              </w:rPr>
              <w:t>TSH, Free T4, TPO Ab, Tg Ab</w:t>
            </w:r>
          </w:p>
        </w:tc>
        <w:tc>
          <w:tcPr>
            <w:tcW w:type="dxa" w:w="2340"/>
          </w:tcPr>
          <w:p>
            <w:pPr>
              <w:spacing w:before="80" w:after="80"/>
            </w:pPr>
            <w:r>
              <w:rPr>
                <w:rFonts w:ascii="Calibri" w:hAnsi="Calibri"/>
                <w:color w:val="333333"/>
                <w:sz w:val="20"/>
              </w:rPr>
              <w:t>DIO2 Thr92Ala, TPO/HLA autoimmune variants</w:t>
            </w:r>
          </w:p>
        </w:tc>
        <w:tc>
          <w:tcPr>
            <w:tcW w:type="dxa" w:w="2340"/>
          </w:tcPr>
          <w:p>
            <w:pPr>
              <w:spacing w:before="80" w:after="80"/>
            </w:pPr>
            <w:r>
              <w:rPr>
                <w:rFonts w:ascii="Calibri" w:hAnsi="Calibri"/>
                <w:color w:val="333333"/>
                <w:sz w:val="20"/>
              </w:rPr>
              <w:t>Genotype-adjusted FT3 targets, conversion efficiency, autoimmune trajectory</w:t>
            </w:r>
          </w:p>
        </w:tc>
      </w:tr>
      <w:tr>
        <w:tc>
          <w:tcPr>
            <w:tcW w:type="dxa" w:w="2340"/>
          </w:tcPr>
          <w:p>
            <w:pPr>
              <w:spacing w:before="80" w:after="80"/>
            </w:pPr>
            <w:r>
              <w:rPr>
                <w:rFonts w:ascii="Calibri" w:hAnsi="Calibri"/>
                <w:color w:val="333333"/>
                <w:sz w:val="20"/>
              </w:rPr>
              <w:t>Iron &amp; Hemochromatosis</w:t>
            </w:r>
          </w:p>
        </w:tc>
        <w:tc>
          <w:tcPr>
            <w:tcW w:type="dxa" w:w="2340"/>
          </w:tcPr>
          <w:p>
            <w:pPr>
              <w:spacing w:before="80" w:after="80"/>
            </w:pPr>
            <w:r>
              <w:rPr>
                <w:rFonts w:ascii="Calibri" w:hAnsi="Calibri"/>
                <w:color w:val="333333"/>
                <w:sz w:val="20"/>
              </w:rPr>
              <w:t>Ferritin, iron, TIBC, transferrin saturation</w:t>
            </w:r>
          </w:p>
        </w:tc>
        <w:tc>
          <w:tcPr>
            <w:tcW w:type="dxa" w:w="2340"/>
          </w:tcPr>
          <w:p>
            <w:pPr>
              <w:spacing w:before="80" w:after="80"/>
            </w:pPr>
            <w:r>
              <w:rPr>
                <w:rFonts w:ascii="Calibri" w:hAnsi="Calibri"/>
                <w:color w:val="333333"/>
                <w:sz w:val="20"/>
              </w:rPr>
              <w:t>HFE C282Y, H63D</w:t>
            </w:r>
          </w:p>
        </w:tc>
        <w:tc>
          <w:tcPr>
            <w:tcW w:type="dxa" w:w="2340"/>
          </w:tcPr>
          <w:p>
            <w:pPr>
              <w:spacing w:before="80" w:after="80"/>
            </w:pPr>
            <w:r>
              <w:rPr>
                <w:rFonts w:ascii="Calibri" w:hAnsi="Calibri"/>
                <w:color w:val="333333"/>
                <w:sz w:val="20"/>
              </w:rPr>
              <w:t>Genotype-specific ferritin targets, hemochromatosis screening, phlebotomy thresholds</w:t>
            </w:r>
          </w:p>
        </w:tc>
      </w:tr>
      <w:tr>
        <w:tc>
          <w:tcPr>
            <w:tcW w:type="dxa" w:w="2340"/>
          </w:tcPr>
          <w:p>
            <w:pPr>
              <w:spacing w:before="80" w:after="80"/>
            </w:pPr>
            <w:r>
              <w:rPr>
                <w:rFonts w:ascii="Calibri" w:hAnsi="Calibri"/>
                <w:color w:val="333333"/>
                <w:sz w:val="20"/>
              </w:rPr>
              <w:t>Personalized Nutrition</w:t>
            </w:r>
          </w:p>
        </w:tc>
        <w:tc>
          <w:tcPr>
            <w:tcW w:type="dxa" w:w="2340"/>
          </w:tcPr>
          <w:p>
            <w:pPr>
              <w:spacing w:before="80" w:after="80"/>
            </w:pPr>
            <w:r>
              <w:rPr>
                <w:rFonts w:ascii="Calibri" w:hAnsi="Calibri"/>
                <w:color w:val="333333"/>
                <w:sz w:val="20"/>
              </w:rPr>
              <w:t>Omega-3/6 levels, homocysteine, folate, B12, vitamin D</w:t>
            </w:r>
          </w:p>
        </w:tc>
        <w:tc>
          <w:tcPr>
            <w:tcW w:type="dxa" w:w="2340"/>
          </w:tcPr>
          <w:p>
            <w:pPr>
              <w:spacing w:before="80" w:after="80"/>
            </w:pPr>
            <w:r>
              <w:rPr>
                <w:rFonts w:ascii="Calibri" w:hAnsi="Calibri"/>
                <w:color w:val="333333"/>
                <w:sz w:val="20"/>
              </w:rPr>
              <w:t>FADS1/FADS2, MTHFR C677T/A1298C, VDR, FUT2</w:t>
            </w:r>
          </w:p>
        </w:tc>
        <w:tc>
          <w:tcPr>
            <w:tcW w:type="dxa" w:w="2340"/>
          </w:tcPr>
          <w:p>
            <w:pPr>
              <w:spacing w:before="80" w:after="80"/>
            </w:pPr>
            <w:r>
              <w:rPr>
                <w:rFonts w:ascii="Calibri" w:hAnsi="Calibri"/>
                <w:color w:val="333333"/>
                <w:sz w:val="20"/>
              </w:rPr>
              <w:t>Omega conversion efficiency, methylation support needs, supplementation guidance</w:t>
            </w:r>
          </w:p>
        </w:tc>
      </w:tr>
    </w:tbl>
    <w:p>
      <w:pPr>
        <w:pStyle w:val="Heading2"/>
      </w:pPr>
      <w:r>
        <w:t>Biological Age Engine</w:t>
      </w:r>
    </w:p>
    <w:p>
      <w:pPr/>
      <w:r>
        <w:t>The agent calculates biological age using blood biomarkers that correlate with validated epigenetic clock algorithms (GrimAge, PhenoAge). PhenoAge uses nine biomarkers plus chronological age to estimate mortality-adjusted biological age; GrimAge incorporates surrogate markers (GDF-15, cystatin C, leptin, PAI-1) that predict aging-related outcomes. The agent identifies which specific biomarkers are driving age acceleration—chronic inflammation (hs-CRP), metabolic dysfunction (glucose), immunosenescence (lymphocyte %), or bone marrow aging (RDW)—and generates targeted interventions for each driver. Key biomarker-clock correlations: GDF-15 shows strong correlation with GrimAge (r=0.664) and predicts mitochondrial stress and all-cause mortality; cystatin C is a GrimAge component reflecting kidney function beyond creatinine; hs-CRP is a PhenoAge component indicating systemic inflammation and vascular aging; albumin (inverse PhenoAge component) reflects liver synthetic function; lymphocyte % indicates immunosenescence; RDW signals bone marrow aging and chronic disease burden; alkaline phosphatase links to vascular calcification.</w:t>
      </w:r>
    </w:p>
    <w:p>
      <w:pPr>
        <w:pStyle w:val="Caption"/>
      </w:pPr>
      <w:r>
        <w:rPr>
          <w:rFonts w:ascii="Calibri" w:hAnsi="Calibri"/>
          <w:sz w:val="18"/>
          <w:i/>
          <w:color w:val="333333"/>
        </w:rPr>
        <w:t>Table 1a. Blood biomarkers that predict biological age via epigenetic clock correlations.</w:t>
      </w:r>
    </w:p>
    <w:p>
      <w:pPr>
        <w:pStyle w:val="Heading2"/>
      </w:pPr>
      <w:r>
        <w:t>Pre-Symptomatic Disease Detection</w:t>
      </w:r>
    </w:p>
    <w:p>
      <w:pPr/>
      <w:r>
        <w:t>Type 2 diabetes is detectable 5–7 years before clinical diagnosis through trajectory analysis of fasting glucose, insulin, HOMA-IR, HbA1c, and the triglyceride/HDL ratio—especially when correlated with genetic susceptibility variants. The agent calculates a composite genetic risk score from TCF7L2 (1.4x risk per T allele), PPARG (Pro12Ala protective), SLC30A8, KCNJ11, and GCKR, then models the personalized trajectory: years to diagnosis without intervention, risk reduction potential with lifestyle modification (58% per DPP study; reversion to normal glucose reduces future diabetes risk by 56%), and genotype-specific recommendations (TCF7L2 carriers benefit more from reduced glycemic load).</w:t>
      </w:r>
    </w:p>
    <w:p>
      <w:pPr>
        <w:pStyle w:val="Heading2"/>
      </w:pPr>
      <w:r>
        <w:t>Advanced Cardiovascular Analysis</w:t>
      </w:r>
    </w:p>
    <w:p>
      <w:pPr/>
      <w:r>
        <w:t>The agent moves beyond traditional cholesterol panels to multi-pathway cardiovascular risk assessment. ApoB (atherogenic particle burden) and Lp(a) (90% genetically determined, stable from childhood) provide risk stratification that LDL-C alone misses. Inflammatory phenotyping uses hs-CRP (hepatic/metabolic inflammation) and the neutrophil-to-lymphocyte ratio (NLR, cellular/immune inflammation) to determine the source and driver of inflammation—enabling targeted intervention rather than generic anti-inflammatory advice. Genetic context from PCSK9 loss-of-function variants (associated with lower baseline LDL and reduced cardiovascular risk), APOE4 (associated with higher baseline LDL and dual cardiovascular/cognitive risk, Alzheimer’s co-risk), and IL-6 variants further personalizes the risk profile and treatment strategy.</w:t>
      </w:r>
    </w:p>
    <w:p>
      <w:pPr>
        <w:pStyle w:val="Heading2"/>
      </w:pPr>
      <w:r>
        <w:t>Liver, Thyroid, Iron, and Nutrition Modules</w:t>
      </w:r>
    </w:p>
    <w:p>
      <w:pPr/>
      <w:r>
        <w:t>The liver module applies genotype-adjusted ALT thresholds: PNPLA3 I148M carriers (2–3x NAFLD risk per G allele) accumulate hepatic fat at “normal” ALT levels, requiring lower thresholds for screening. TM6SF2 E167K increases liver fat but paradoxically reduces cardiovascular risk. HSD17B13 loss-of-function variants are protective against NAFLD/MASH progression. The thyroid module identifies DIO2 Thr92Ala carriers (~16% homozygous, ~50% heterozygous in the general population) who may have impaired T4-to-T3 conversion despite normal TSH. The iron module screens for HFE hemochromatosis variants—hereditary hemochromatosis affects 1 in 200–300 people of Northern European descent but often goes undiagnosed until organ damage occurs; C282Y homozygotes require aggressive ferritin monitoring and phlebotomy thresholds well below standard reference ranges. The nutrition module uses FADS1/FADS2 variants to determine individual omega-3/omega-6 conversion efficiency and MTHFR status to guide methylfolate supplementation.</w:t>
      </w:r>
    </w:p>
    <w:p>
      <w:pPr>
        <w:pStyle w:val="Heading1"/>
      </w:pPr>
      <w:r>
        <w:t>Architecture: Biomarker Agent ↔ VAST AI OS ↔ NVIDIA</w:t>
      </w:r>
    </w:p>
    <w:p>
      <w:pPr/>
      <w:r>
        <w:t>The Precision Biomarker Agent is implemented as a three-plane system—Data Plane, Execution Plane, and Reasoning Plane—mirroring the architecture of the Imaging AI Agent and sharing the same VAST AI OS substrate.</w:t>
      </w:r>
    </w:p>
    <w:p>
      <w:pPr>
        <w:pStyle w:val="Caption"/>
      </w:pPr>
      <w:r>
        <w:t>Table 2. Three-plane architecture for the Precision Biomarker Agent.</w:t>
      </w:r>
    </w:p>
    <w:tbl>
      <w:tblPr>
        <w:tblStyle w:val="TableGrid"/>
        <w:tblW w:type="auto" w:w="0"/>
        <w:jc w:val="center"/>
        <w:tblLook w:firstColumn="1" w:firstRow="1" w:lastColumn="0" w:lastRow="0" w:noHBand="0" w:noVBand="1" w:val="04A0"/>
        <w:tblBorders>
          <w:top w:val="single" w:sz="4" w:space="0" w:color="D0D5DD"/>
          <w:left w:val="none" w:sz="0" w:space="0" w:color="auto"/>
          <w:bottom w:val="single" w:sz="4" w:space="0" w:color="D0D5DD"/>
          <w:right w:val="none" w:sz="0" w:space="0" w:color="auto"/>
          <w:insideH w:val="single" w:sz="4" w:space="0" w:color="D0D5DD"/>
          <w:insideV w:val="none" w:sz="0" w:space="0" w:color="auto"/>
        </w:tblBorders>
      </w:tblPr>
      <w:tblGrid>
        <w:gridCol w:w="3120"/>
        <w:gridCol w:w="3120"/>
        <w:gridCol w:w="3120"/>
      </w:tblGrid>
      <w:tr>
        <w:tc>
          <w:tcPr>
            <w:tcW w:type="dxa" w:w="3120"/>
            <w:shd w:fill="1B2333" w:val="clear"/>
          </w:tcPr>
          <w:p>
            <w:r>
              <w:rPr>
                <w:rFonts w:ascii="Calibri" w:hAnsi="Calibri"/>
                <w:b/>
                <w:color w:val="FFFFFF"/>
                <w:sz w:val="20"/>
              </w:rPr>
              <w:t>Plane</w:t>
            </w:r>
          </w:p>
        </w:tc>
        <w:tc>
          <w:tcPr>
            <w:tcW w:type="dxa" w:w="3120"/>
            <w:shd w:fill="1B2333" w:val="clear"/>
          </w:tcPr>
          <w:p>
            <w:r>
              <w:rPr>
                <w:rFonts w:ascii="Calibri" w:hAnsi="Calibri"/>
                <w:b/>
                <w:color w:val="FFFFFF"/>
                <w:sz w:val="20"/>
              </w:rPr>
              <w:t>Primary Responsibilities</w:t>
            </w:r>
          </w:p>
        </w:tc>
        <w:tc>
          <w:tcPr>
            <w:tcW w:type="dxa" w:w="3120"/>
            <w:shd w:fill="1B2333" w:val="clear"/>
          </w:tcPr>
          <w:p>
            <w:r>
              <w:rPr>
                <w:rFonts w:ascii="Calibri" w:hAnsi="Calibri"/>
                <w:b/>
                <w:color w:val="FFFFFF"/>
                <w:sz w:val="20"/>
              </w:rPr>
              <w:t>VAST AI OS + NVIDIA Mapping</w:t>
            </w:r>
          </w:p>
        </w:tc>
      </w:tr>
      <w:tr>
        <w:tc>
          <w:tcPr>
            <w:tcW w:type="dxa" w:w="3120"/>
          </w:tcPr>
          <w:p>
            <w:pPr>
              <w:spacing w:before="80" w:after="80"/>
            </w:pPr>
            <w:r>
              <w:rPr>
                <w:rFonts w:ascii="Calibri" w:hAnsi="Calibri"/>
                <w:color w:val="333333"/>
                <w:sz w:val="20"/>
              </w:rPr>
              <w:t>Data Plane</w:t>
            </w:r>
          </w:p>
        </w:tc>
        <w:tc>
          <w:tcPr>
            <w:tcW w:type="dxa" w:w="3120"/>
          </w:tcPr>
          <w:p>
            <w:pPr>
              <w:spacing w:before="80" w:after="80"/>
            </w:pPr>
            <w:r>
              <w:rPr>
                <w:rFonts w:ascii="Calibri" w:hAnsi="Calibri"/>
                <w:color w:val="333333"/>
                <w:sz w:val="20"/>
              </w:rPr>
              <w:t>Canonical storage of longitudinal biomarker profiles and genomic variants; global namespace; cross-vendor normalization; derived index persistence</w:t>
            </w:r>
          </w:p>
        </w:tc>
        <w:tc>
          <w:tcPr>
            <w:tcW w:type="dxa" w:w="3120"/>
          </w:tcPr>
          <w:p>
            <w:pPr>
              <w:spacing w:before="80" w:after="80"/>
            </w:pPr>
            <w:r>
              <w:rPr>
                <w:rFonts w:ascii="Calibri" w:hAnsi="Calibri"/>
                <w:color w:val="333333"/>
                <w:sz w:val="20"/>
              </w:rPr>
              <w:t>DataStore (DASE) for structured biomarker records; DataSpace for global namespace and longitudinal patient history across sites</w:t>
            </w:r>
          </w:p>
        </w:tc>
      </w:tr>
      <w:tr>
        <w:tc>
          <w:tcPr>
            <w:tcW w:type="dxa" w:w="3120"/>
          </w:tcPr>
          <w:p>
            <w:pPr>
              <w:spacing w:before="80" w:after="80"/>
            </w:pPr>
            <w:r>
              <w:rPr>
                <w:rFonts w:ascii="Calibri" w:hAnsi="Calibri"/>
                <w:color w:val="333333"/>
                <w:sz w:val="20"/>
              </w:rPr>
              <w:t>Execution Plane</w:t>
            </w:r>
          </w:p>
        </w:tc>
        <w:tc>
          <w:tcPr>
            <w:tcW w:type="dxa" w:w="3120"/>
          </w:tcPr>
          <w:p>
            <w:pPr>
              <w:spacing w:before="80" w:after="80"/>
            </w:pPr>
            <w:r>
              <w:rPr>
                <w:rFonts w:ascii="Calibri" w:hAnsi="Calibri"/>
                <w:color w:val="333333"/>
                <w:sz w:val="20"/>
              </w:rPr>
              <w:t>Biomarker ingestion pipelines; biological age calculation; disease trajectory modeling; genotype-adjusted analysis; pharmacogenomic scoring</w:t>
            </w:r>
          </w:p>
        </w:tc>
        <w:tc>
          <w:tcPr>
            <w:tcW w:type="dxa" w:w="3120"/>
          </w:tcPr>
          <w:p>
            <w:pPr>
              <w:spacing w:before="80" w:after="80"/>
            </w:pPr>
            <w:r>
              <w:rPr>
                <w:rFonts w:ascii="Calibri" w:hAnsi="Calibri"/>
                <w:color w:val="333333"/>
                <w:sz w:val="20"/>
              </w:rPr>
              <w:t>DataEngine for event-driven pipeline orchestration; NVIDIA DGX for GPU-accelerated model inference; NIM for model serving</w:t>
            </w:r>
          </w:p>
        </w:tc>
      </w:tr>
      <w:tr>
        <w:tc>
          <w:tcPr>
            <w:tcW w:type="dxa" w:w="3120"/>
          </w:tcPr>
          <w:p>
            <w:pPr>
              <w:spacing w:before="80" w:after="80"/>
            </w:pPr>
            <w:r>
              <w:rPr>
                <w:rFonts w:ascii="Calibri" w:hAnsi="Calibri"/>
                <w:color w:val="333333"/>
                <w:sz w:val="20"/>
              </w:rPr>
              <w:t>Reasoning Plane</w:t>
            </w:r>
          </w:p>
        </w:tc>
        <w:tc>
          <w:tcPr>
            <w:tcW w:type="dxa" w:w="3120"/>
          </w:tcPr>
          <w:p>
            <w:pPr>
              <w:spacing w:before="80" w:after="80"/>
            </w:pPr>
            <w:r>
              <w:rPr>
                <w:rFonts w:ascii="Calibri" w:hAnsi="Calibri"/>
                <w:color w:val="333333"/>
                <w:sz w:val="20"/>
              </w:rPr>
              <w:t>Multi-pathway risk integration; evidence-grounded interpretation; longitudinal trend analysis; personalized intervention generation</w:t>
            </w:r>
          </w:p>
        </w:tc>
        <w:tc>
          <w:tcPr>
            <w:tcW w:type="dxa" w:w="3120"/>
          </w:tcPr>
          <w:p>
            <w:pPr>
              <w:spacing w:before="80" w:after="80"/>
            </w:pPr>
            <w:r>
              <w:rPr>
                <w:rFonts w:ascii="Calibri" w:hAnsi="Calibri"/>
                <w:color w:val="333333"/>
                <w:sz w:val="20"/>
              </w:rPr>
              <w:t>DataBase for structured + vector queries across biomarker history; InsightEngine for RAG-based clinical reasoning grounded in guidelines and literature</w:t>
            </w:r>
          </w:p>
        </w:tc>
      </w:tr>
    </w:tbl>
    <w:p>
      <w:pPr/>
    </w:p>
    <w:p>
      <w:pPr>
        <w:pStyle w:val="Caption"/>
      </w:pPr>
      <w:r>
        <w:t>Table 3. NVIDIA compute and model stack for the Precision Biomarker Agent.</w:t>
      </w:r>
    </w:p>
    <w:tbl>
      <w:tblPr>
        <w:tblStyle w:val="TableGrid"/>
        <w:tblW w:type="auto" w:w="0"/>
        <w:jc w:val="center"/>
        <w:tblLook w:firstColumn="1" w:firstRow="1" w:lastColumn="0" w:lastRow="0" w:noHBand="0" w:noVBand="1" w:val="04A0"/>
        <w:tblBorders>
          <w:top w:val="single" w:sz="4" w:space="0" w:color="D0D5DD"/>
          <w:left w:val="none" w:sz="0" w:space="0" w:color="auto"/>
          <w:bottom w:val="single" w:sz="4" w:space="0" w:color="D0D5DD"/>
          <w:right w:val="none" w:sz="0" w:space="0" w:color="auto"/>
          <w:insideH w:val="single" w:sz="4" w:space="0" w:color="D0D5DD"/>
          <w:insideV w:val="none" w:sz="0" w:space="0" w:color="auto"/>
        </w:tblBorders>
      </w:tblPr>
      <w:tblGrid>
        <w:gridCol w:w="3120"/>
        <w:gridCol w:w="3120"/>
        <w:gridCol w:w="3120"/>
      </w:tblGrid>
      <w:tr>
        <w:tc>
          <w:tcPr>
            <w:tcW w:type="dxa" w:w="3120"/>
            <w:shd w:fill="1B2333" w:val="clear"/>
          </w:tcPr>
          <w:p>
            <w:r>
              <w:rPr>
                <w:rFonts w:ascii="Calibri" w:hAnsi="Calibri"/>
                <w:b/>
                <w:color w:val="FFFFFF"/>
                <w:sz w:val="20"/>
              </w:rPr>
              <w:t>Component</w:t>
            </w:r>
          </w:p>
        </w:tc>
        <w:tc>
          <w:tcPr>
            <w:tcW w:type="dxa" w:w="3120"/>
            <w:shd w:fill="1B2333" w:val="clear"/>
          </w:tcPr>
          <w:p>
            <w:r>
              <w:rPr>
                <w:rFonts w:ascii="Calibri" w:hAnsi="Calibri"/>
                <w:b/>
                <w:color w:val="FFFFFF"/>
                <w:sz w:val="20"/>
              </w:rPr>
              <w:t>Role</w:t>
            </w:r>
          </w:p>
        </w:tc>
        <w:tc>
          <w:tcPr>
            <w:tcW w:type="dxa" w:w="3120"/>
            <w:shd w:fill="1B2333" w:val="clear"/>
          </w:tcPr>
          <w:p>
            <w:r>
              <w:rPr>
                <w:rFonts w:ascii="Calibri" w:hAnsi="Calibri"/>
                <w:b/>
                <w:color w:val="FFFFFF"/>
                <w:sz w:val="20"/>
              </w:rPr>
              <w:t>Biomarker Agent Usage</w:t>
            </w:r>
          </w:p>
        </w:tc>
      </w:tr>
      <w:tr>
        <w:tc>
          <w:tcPr>
            <w:tcW w:type="dxa" w:w="3120"/>
          </w:tcPr>
          <w:p>
            <w:pPr>
              <w:spacing w:before="80" w:after="80"/>
            </w:pPr>
            <w:r>
              <w:rPr>
                <w:rFonts w:ascii="Calibri" w:hAnsi="Calibri"/>
                <w:color w:val="333333"/>
                <w:sz w:val="20"/>
              </w:rPr>
              <w:t>NVIDIA DGX Spark → SuperPOD</w:t>
            </w:r>
          </w:p>
        </w:tc>
        <w:tc>
          <w:tcPr>
            <w:tcW w:type="dxa" w:w="3120"/>
          </w:tcPr>
          <w:p>
            <w:pPr>
              <w:spacing w:before="80" w:after="80"/>
            </w:pPr>
            <w:r>
              <w:rPr>
                <w:rFonts w:ascii="Calibri" w:hAnsi="Calibri"/>
                <w:color w:val="333333"/>
                <w:sz w:val="20"/>
              </w:rPr>
              <w:t>GPU compute substrate</w:t>
            </w:r>
          </w:p>
        </w:tc>
        <w:tc>
          <w:tcPr>
            <w:tcW w:type="dxa" w:w="3120"/>
          </w:tcPr>
          <w:p>
            <w:pPr>
              <w:spacing w:before="80" w:after="80"/>
            </w:pPr>
            <w:r>
              <w:rPr>
                <w:rFonts w:ascii="Calibri" w:hAnsi="Calibri"/>
                <w:color w:val="333333"/>
                <w:sz w:val="20"/>
              </w:rPr>
              <w:t>Proof build on DGX Spark; scale to SuperPOD for population-scale cohort analysis and model training</w:t>
            </w:r>
          </w:p>
        </w:tc>
      </w:tr>
      <w:tr>
        <w:tc>
          <w:tcPr>
            <w:tcW w:type="dxa" w:w="3120"/>
          </w:tcPr>
          <w:p>
            <w:pPr>
              <w:spacing w:before="80" w:after="80"/>
            </w:pPr>
            <w:r>
              <w:rPr>
                <w:rFonts w:ascii="Calibri" w:hAnsi="Calibri"/>
                <w:color w:val="333333"/>
                <w:sz w:val="20"/>
              </w:rPr>
              <w:t>NVIDIA NIM</w:t>
            </w:r>
          </w:p>
        </w:tc>
        <w:tc>
          <w:tcPr>
            <w:tcW w:type="dxa" w:w="3120"/>
          </w:tcPr>
          <w:p>
            <w:pPr>
              <w:spacing w:before="80" w:after="80"/>
            </w:pPr>
            <w:r>
              <w:rPr>
                <w:rFonts w:ascii="Calibri" w:hAnsi="Calibri"/>
                <w:color w:val="333333"/>
                <w:sz w:val="20"/>
              </w:rPr>
              <w:t>Inference microservices</w:t>
            </w:r>
          </w:p>
        </w:tc>
        <w:tc>
          <w:tcPr>
            <w:tcW w:type="dxa" w:w="3120"/>
          </w:tcPr>
          <w:p>
            <w:pPr>
              <w:spacing w:before="80" w:after="80"/>
            </w:pPr>
            <w:r>
              <w:rPr>
                <w:rFonts w:ascii="Calibri" w:hAnsi="Calibri"/>
                <w:color w:val="333333"/>
                <w:sz w:val="20"/>
              </w:rPr>
              <w:t>Serving biological age models, trajectory predictors, and pharmacogenomic classifiers with versioned endpoints</w:t>
            </w:r>
          </w:p>
        </w:tc>
      </w:tr>
      <w:tr>
        <w:tc>
          <w:tcPr>
            <w:tcW w:type="dxa" w:w="3120"/>
          </w:tcPr>
          <w:p>
            <w:pPr>
              <w:spacing w:before="80" w:after="80"/>
            </w:pPr>
            <w:r>
              <w:rPr>
                <w:rFonts w:ascii="Calibri" w:hAnsi="Calibri"/>
                <w:color w:val="333333"/>
                <w:sz w:val="20"/>
              </w:rPr>
              <w:t>NVIDIA FLARE</w:t>
            </w:r>
          </w:p>
        </w:tc>
        <w:tc>
          <w:tcPr>
            <w:tcW w:type="dxa" w:w="3120"/>
          </w:tcPr>
          <w:p>
            <w:pPr>
              <w:spacing w:before="80" w:after="80"/>
            </w:pPr>
            <w:r>
              <w:rPr>
                <w:rFonts w:ascii="Calibri" w:hAnsi="Calibri"/>
                <w:color w:val="333333"/>
                <w:sz w:val="20"/>
              </w:rPr>
              <w:t>Federated learning</w:t>
            </w:r>
          </w:p>
        </w:tc>
        <w:tc>
          <w:tcPr>
            <w:tcW w:type="dxa" w:w="3120"/>
          </w:tcPr>
          <w:p>
            <w:pPr>
              <w:spacing w:before="80" w:after="80"/>
            </w:pPr>
            <w:r>
              <w:rPr>
                <w:rFonts w:ascii="Calibri" w:hAnsi="Calibri"/>
                <w:color w:val="333333"/>
                <w:sz w:val="20"/>
              </w:rPr>
              <w:t>Multi-site model improvement across health systems without centralizing patient biomarker data</w:t>
            </w:r>
          </w:p>
        </w:tc>
      </w:tr>
      <w:tr>
        <w:tc>
          <w:tcPr>
            <w:tcW w:type="dxa" w:w="3120"/>
          </w:tcPr>
          <w:p>
            <w:pPr>
              <w:spacing w:before="80" w:after="80"/>
            </w:pPr>
            <w:r>
              <w:rPr>
                <w:rFonts w:ascii="Calibri" w:hAnsi="Calibri"/>
                <w:color w:val="333333"/>
                <w:sz w:val="20"/>
              </w:rPr>
              <w:t>NVIDIA BioNeMo / NeMo</w:t>
            </w:r>
          </w:p>
        </w:tc>
        <w:tc>
          <w:tcPr>
            <w:tcW w:type="dxa" w:w="3120"/>
          </w:tcPr>
          <w:p>
            <w:pPr>
              <w:spacing w:before="80" w:after="80"/>
            </w:pPr>
            <w:r>
              <w:rPr>
                <w:rFonts w:ascii="Calibri" w:hAnsi="Calibri"/>
                <w:color w:val="333333"/>
                <w:sz w:val="20"/>
              </w:rPr>
              <w:t>Foundation models</w:t>
            </w:r>
          </w:p>
        </w:tc>
        <w:tc>
          <w:tcPr>
            <w:tcW w:type="dxa" w:w="3120"/>
          </w:tcPr>
          <w:p>
            <w:pPr>
              <w:spacing w:before="80" w:after="80"/>
            </w:pPr>
            <w:r>
              <w:rPr>
                <w:rFonts w:ascii="Calibri" w:hAnsi="Calibri"/>
                <w:color w:val="333333"/>
                <w:sz w:val="20"/>
              </w:rPr>
              <w:t>Fine-tuned LLMs for clinical interpretation, report generation, and RAG-based evidence retrieval (Med42-70B)</w:t>
            </w:r>
          </w:p>
        </w:tc>
      </w:tr>
    </w:tbl>
    <w:p>
      <w:pPr>
        <w:pStyle w:val="Heading1"/>
      </w:pPr>
      <w:r>
        <w:t>End-to-End Data Trace: Biomarker Ingestion Through Report</w:t>
      </w:r>
    </w:p>
    <w:p>
      <w:pPr/>
      <w:r>
        <w:t>The following trace illustrates the exact sequence for a single patient’s blood panel flowing through the agent:</w:t>
      </w:r>
    </w:p>
    <w:p>
      <w:pPr>
        <w:pStyle w:val="ListBullet"/>
      </w:pPr>
      <w:r>
        <w:rPr>
          <w:rFonts w:ascii="Calibri" w:hAnsi="Calibri"/>
          <w:b/>
          <w:color w:val="333333"/>
          <w:sz w:val="21"/>
        </w:rPr>
        <w:t xml:space="preserve">1. </w:t>
      </w:r>
      <w:r>
        <w:rPr>
          <w:rFonts w:ascii="Calibri" w:hAnsi="Calibri"/>
          <w:color w:val="333333"/>
          <w:sz w:val="21"/>
        </w:rPr>
        <w:t>Blood panel results arrive (CSV/PDF/FHIR Bundle from Function Health or lab vendor) → ingested into DataStore as canonical biomarker record with full metadata (units, reference intervals, flags, fasting status, collection timestamp).</w:t>
      </w:r>
    </w:p>
    <w:p>
      <w:pPr>
        <w:pStyle w:val="ListBullet"/>
      </w:pPr>
      <w:r>
        <w:rPr>
          <w:rFonts w:ascii="Calibri" w:hAnsi="Calibri"/>
          <w:b/>
          <w:color w:val="333333"/>
          <w:sz w:val="21"/>
        </w:rPr>
        <w:t xml:space="preserve">2. </w:t>
      </w:r>
      <w:r>
        <w:rPr>
          <w:rFonts w:ascii="Calibri" w:hAnsi="Calibri"/>
          <w:color w:val="333333"/>
          <w:sz w:val="21"/>
        </w:rPr>
        <w:t>DataEngine event: panel.complete fires → triggers biomarker_analysis_pipeline.</w:t>
      </w:r>
    </w:p>
    <w:p>
      <w:pPr>
        <w:pStyle w:val="ListBullet"/>
      </w:pPr>
      <w:r>
        <w:rPr>
          <w:rFonts w:ascii="Calibri" w:hAnsi="Calibri"/>
          <w:b/>
          <w:color w:val="333333"/>
          <w:sz w:val="21"/>
        </w:rPr>
        <w:t xml:space="preserve">3. </w:t>
      </w:r>
      <w:r>
        <w:rPr>
          <w:rFonts w:ascii="Calibri" w:hAnsi="Calibri"/>
          <w:color w:val="333333"/>
          <w:sz w:val="21"/>
        </w:rPr>
        <w:t>Normalization module standardizes units across vendors, validates metadata completeness, computes derived indices (HOMA-IR, NLR, TG/HDL ratio, FIB-4) → persists derived artifacts.</w:t>
      </w:r>
    </w:p>
    <w:p>
      <w:pPr>
        <w:pStyle w:val="ListBullet"/>
      </w:pPr>
      <w:r>
        <w:rPr>
          <w:rFonts w:ascii="Calibri" w:hAnsi="Calibri"/>
          <w:b/>
          <w:color w:val="333333"/>
          <w:sz w:val="21"/>
        </w:rPr>
        <w:t xml:space="preserve">4. </w:t>
      </w:r>
      <w:r>
        <w:rPr>
          <w:rFonts w:ascii="Calibri" w:hAnsi="Calibri"/>
          <w:color w:val="333333"/>
          <w:sz w:val="21"/>
        </w:rPr>
        <w:t>Genomic variant lookup: retrieves patient’s canonical genotype record from DataStore (MTHFR, APOE, TCF7L2, PCSK9, PNPLA3, HFE, FADS, DIO2, CYP2D6, CYP2C19, SLCO1B1, VKORC1).</w:t>
      </w:r>
    </w:p>
    <w:p>
      <w:pPr>
        <w:pStyle w:val="ListBullet"/>
      </w:pPr>
      <w:r>
        <w:rPr>
          <w:rFonts w:ascii="Calibri" w:hAnsi="Calibri"/>
          <w:b/>
          <w:color w:val="333333"/>
          <w:sz w:val="21"/>
        </w:rPr>
        <w:t xml:space="preserve">5. </w:t>
      </w:r>
      <w:r>
        <w:rPr>
          <w:rFonts w:ascii="Calibri" w:hAnsi="Calibri"/>
          <w:color w:val="333333"/>
          <w:sz w:val="21"/>
        </w:rPr>
        <w:t>Biological Age Engine: calculates PhenoAge from 9 biomarkers + age, estimates GrimAge surrogates, identifies aging drivers → persists biological age record.</w:t>
      </w:r>
    </w:p>
    <w:p>
      <w:pPr>
        <w:pStyle w:val="ListBullet"/>
      </w:pPr>
      <w:r>
        <w:rPr>
          <w:rFonts w:ascii="Calibri" w:hAnsi="Calibri"/>
          <w:b/>
          <w:color w:val="333333"/>
          <w:sz w:val="21"/>
        </w:rPr>
        <w:t xml:space="preserve">6. </w:t>
      </w:r>
      <w:r>
        <w:rPr>
          <w:rFonts w:ascii="Calibri" w:hAnsi="Calibri"/>
          <w:color w:val="333333"/>
          <w:sz w:val="21"/>
        </w:rPr>
        <w:t>DataBase query: retrieves prior biomarker records from DataSpace global namespace → returns longitudinal history (6–12 month intervals).</w:t>
      </w:r>
    </w:p>
    <w:p>
      <w:pPr>
        <w:pStyle w:val="ListBullet"/>
      </w:pPr>
      <w:r>
        <w:rPr>
          <w:rFonts w:ascii="Calibri" w:hAnsi="Calibri"/>
          <w:b/>
          <w:color w:val="333333"/>
          <w:sz w:val="21"/>
        </w:rPr>
        <w:t xml:space="preserve">7. </w:t>
      </w:r>
      <w:r>
        <w:rPr>
          <w:rFonts w:ascii="Calibri" w:hAnsi="Calibri"/>
          <w:color w:val="333333"/>
          <w:sz w:val="21"/>
        </w:rPr>
        <w:t>Pre-symptomatic disease detection: models diabetes trajectory (HOMA-IR trend + TCF7L2 risk), cardiovascular trajectory (ApoB + Lp(a) + PCSK9 context), liver trajectory (ALT trend + PNPLA3 genotype) → persists trajectory predictions.</w:t>
      </w:r>
    </w:p>
    <w:p>
      <w:pPr>
        <w:pStyle w:val="ListBullet"/>
      </w:pPr>
      <w:r>
        <w:rPr>
          <w:rFonts w:ascii="Calibri" w:hAnsi="Calibri"/>
          <w:b/>
          <w:color w:val="333333"/>
          <w:sz w:val="21"/>
        </w:rPr>
        <w:t xml:space="preserve">8. </w:t>
      </w:r>
      <w:r>
        <w:rPr>
          <w:rFonts w:ascii="Calibri" w:hAnsi="Calibri"/>
          <w:color w:val="333333"/>
          <w:sz w:val="21"/>
        </w:rPr>
        <w:t>Multi-pathway risk integration: connects inflammation, metabolism, cardiovascular, liver, and thyroid pathways into unified risk landscape → identifies root cause patterns (e.g., insulin resistance driving inflammation + liver fat + dyslipidemia).</w:t>
      </w:r>
    </w:p>
    <w:p>
      <w:pPr>
        <w:pStyle w:val="ListBullet"/>
      </w:pPr>
      <w:r>
        <w:rPr>
          <w:rFonts w:ascii="Calibri" w:hAnsi="Calibri"/>
          <w:b/>
          <w:color w:val="333333"/>
          <w:sz w:val="21"/>
        </w:rPr>
        <w:t xml:space="preserve">9. </w:t>
      </w:r>
      <w:r>
        <w:rPr>
          <w:rFonts w:ascii="Calibri" w:hAnsi="Calibri"/>
          <w:color w:val="333333"/>
          <w:sz w:val="21"/>
        </w:rPr>
        <w:t>InsightEngine: RAG-based clinical reasoning retrieves relevant guidelines, literature, and population cohort comparisons; generates evidence-grounded interpretations.</w:t>
      </w:r>
    </w:p>
    <w:p>
      <w:pPr>
        <w:pStyle w:val="ListBullet"/>
      </w:pPr>
      <w:r>
        <w:rPr>
          <w:rFonts w:ascii="Calibri" w:hAnsi="Calibri"/>
          <w:b/>
          <w:color w:val="333333"/>
          <w:sz w:val="21"/>
        </w:rPr>
        <w:t xml:space="preserve">10. </w:t>
      </w:r>
      <w:r>
        <w:rPr>
          <w:rFonts w:ascii="Calibri" w:hAnsi="Calibri"/>
          <w:color w:val="333333"/>
          <w:sz w:val="21"/>
        </w:rPr>
        <w:t>Pharmacogenomic scoring: CYP2D6/2C19 metabolizer phenotypes, SLCO1B1 statin risk, VKORC1 warfarin sensitivity → persists pharmacogenomic profile.</w:t>
      </w:r>
    </w:p>
    <w:p>
      <w:pPr>
        <w:pStyle w:val="ListBullet"/>
      </w:pPr>
      <w:r>
        <w:rPr>
          <w:rFonts w:ascii="Calibri" w:hAnsi="Calibri"/>
          <w:b/>
          <w:color w:val="333333"/>
          <w:sz w:val="21"/>
        </w:rPr>
        <w:t xml:space="preserve">11. </w:t>
      </w:r>
      <w:r>
        <w:rPr>
          <w:rFonts w:ascii="Calibri" w:hAnsi="Calibri"/>
          <w:color w:val="333333"/>
          <w:sz w:val="21"/>
        </w:rPr>
        <w:t>Report generation: structured output with prioritized findings, personalized intervention plan, monitoring schedule, supplement protocol, and physician summary → persisted as canonical report artifact.</w:t>
      </w:r>
    </w:p>
    <w:p>
      <w:pPr>
        <w:pStyle w:val="ListBullet"/>
      </w:pPr>
      <w:r>
        <w:rPr>
          <w:rFonts w:ascii="Calibri" w:hAnsi="Calibri"/>
          <w:b/>
          <w:color w:val="333333"/>
          <w:sz w:val="21"/>
        </w:rPr>
        <w:t xml:space="preserve">12. </w:t>
      </w:r>
      <w:r>
        <w:rPr>
          <w:rFonts w:ascii="Calibri" w:hAnsi="Calibri"/>
          <w:color w:val="333333"/>
          <w:sz w:val="21"/>
        </w:rPr>
        <w:t>Provenance bundle attached: model IDs + versions, evidence sources, confidence scores, guideline references, timestamps.</w:t>
      </w:r>
    </w:p>
    <w:p>
      <w:pPr/>
      <w:r>
        <w:t>All biomarker records, derived indices, genomic variants, trajectory predictions, and reports are persistently queryable, longitudinally tracked, and re-computable as models improve.</w:t>
      </w:r>
    </w:p>
    <w:p>
      <w:pPr>
        <w:pStyle w:val="Heading1"/>
      </w:pPr>
      <w:r>
        <w:t>Reference Report: What the Agent Produces</w:t>
      </w:r>
    </w:p>
    <w:p>
      <w:pPr/>
      <w:r>
        <w:t>The agent generates a structured, multi-section report for each patient draw. Key sections include:</w:t>
      </w:r>
    </w:p>
    <w:p>
      <w:pPr>
        <w:pStyle w:val="ListBullet"/>
      </w:pPr>
      <w:r>
        <w:rPr>
          <w:rFonts w:ascii="Calibri" w:hAnsi="Calibri"/>
          <w:b/>
          <w:color w:val="333333"/>
          <w:sz w:val="21"/>
        </w:rPr>
        <w:t xml:space="preserve">Biological Age Summary: </w:t>
      </w:r>
      <w:r>
        <w:rPr>
          <w:rFonts w:ascii="Calibri" w:hAnsi="Calibri"/>
          <w:color w:val="333333"/>
          <w:sz w:val="21"/>
        </w:rPr>
        <w:t>PhenoAge estimate, chronological vs. biological age gap, age acceleration status (exceptional / excellent / normal / accelerated / significantly accelerated), top aging drivers with targeted interventions.</w:t>
      </w:r>
    </w:p>
    <w:p>
      <w:pPr>
        <w:pStyle w:val="ListBullet"/>
      </w:pPr>
      <w:r>
        <w:rPr>
          <w:rFonts w:ascii="Calibri" w:hAnsi="Calibri"/>
          <w:b/>
          <w:color w:val="333333"/>
          <w:sz w:val="21"/>
        </w:rPr>
        <w:t xml:space="preserve">Executive Findings (Top 6): </w:t>
      </w:r>
      <w:r>
        <w:rPr>
          <w:rFonts w:ascii="Calibri" w:hAnsi="Calibri"/>
          <w:color w:val="333333"/>
          <w:sz w:val="21"/>
        </w:rPr>
        <w:t>prioritized by clinical significance—e.g., prediabetic trajectory with TCF7L2 context, elevated Lp(a) with genetic permanence noted, MTHFR compound heterozygosity with homocysteine correlation, APOE4 carrier status with dual CV/cognitive implications.</w:t>
      </w:r>
    </w:p>
    <w:p>
      <w:pPr>
        <w:pStyle w:val="ListBullet"/>
      </w:pPr>
      <w:r>
        <w:rPr>
          <w:rFonts w:ascii="Calibri" w:hAnsi="Calibri"/>
          <w:b/>
          <w:color w:val="333333"/>
          <w:sz w:val="21"/>
        </w:rPr>
        <w:t xml:space="preserve">Complete Biomarker-Gene Correlation Map: </w:t>
      </w:r>
      <w:r>
        <w:rPr>
          <w:rFonts w:ascii="Calibri" w:hAnsi="Calibri"/>
          <w:color w:val="333333"/>
          <w:sz w:val="21"/>
        </w:rPr>
        <w:t>every analyte paired with relevant genetic context and genotype-adjusted interpretation—replacing population reference ranges with individually calibrated ranges.</w:t>
      </w:r>
    </w:p>
    <w:p>
      <w:pPr>
        <w:pStyle w:val="ListBullet"/>
      </w:pPr>
      <w:r>
        <w:rPr>
          <w:rFonts w:ascii="Calibri" w:hAnsi="Calibri"/>
          <w:b/>
          <w:color w:val="333333"/>
          <w:sz w:val="21"/>
        </w:rPr>
        <w:t xml:space="preserve">Disease Trajectory Analysis: </w:t>
      </w:r>
      <w:r>
        <w:rPr>
          <w:rFonts w:ascii="Calibri" w:hAnsi="Calibri"/>
          <w:color w:val="333333"/>
          <w:sz w:val="21"/>
        </w:rPr>
        <w:t>years-to-diagnosis modeling for diabetes, cardiovascular disease, liver disease—with and without intervention scenarios.</w:t>
      </w:r>
    </w:p>
    <w:p>
      <w:pPr>
        <w:pStyle w:val="ListBullet"/>
      </w:pPr>
      <w:r>
        <w:rPr>
          <w:rFonts w:ascii="Calibri" w:hAnsi="Calibri"/>
          <w:b/>
          <w:color w:val="333333"/>
          <w:sz w:val="21"/>
        </w:rPr>
        <w:t xml:space="preserve">Pharmacogenomic Profile: </w:t>
      </w:r>
      <w:r>
        <w:rPr>
          <w:rFonts w:ascii="Calibri" w:hAnsi="Calibri"/>
          <w:color w:val="333333"/>
          <w:sz w:val="21"/>
        </w:rPr>
        <w:t>metabolizer phenotypes (CYP2D6, CYP2C19), statin risk (SLCO1B1), warfarin sensitivity (VKORC1), methylation support (MTHFR)—with specific dosing implications.</w:t>
      </w:r>
    </w:p>
    <w:p>
      <w:pPr>
        <w:pStyle w:val="ListBullet"/>
      </w:pPr>
      <w:r>
        <w:rPr>
          <w:rFonts w:ascii="Calibri" w:hAnsi="Calibri"/>
          <w:b/>
          <w:color w:val="333333"/>
          <w:sz w:val="21"/>
        </w:rPr>
        <w:t xml:space="preserve">Personalized Nutrition Plan: </w:t>
      </w:r>
      <w:r>
        <w:rPr>
          <w:rFonts w:ascii="Calibri" w:hAnsi="Calibri"/>
          <w:color w:val="333333"/>
          <w:sz w:val="21"/>
        </w:rPr>
        <w:t>FADS1/FADS2-informed omega-3/6 guidance, MTHFR-informed methylfolate needs, evidence-based vitamin D targets, FUT2-informed B12 considerations.</w:t>
      </w:r>
    </w:p>
    <w:p>
      <w:pPr>
        <w:pStyle w:val="ListBullet"/>
      </w:pPr>
      <w:r>
        <w:rPr>
          <w:rFonts w:ascii="Calibri" w:hAnsi="Calibri"/>
          <w:b/>
          <w:color w:val="333333"/>
          <w:sz w:val="21"/>
        </w:rPr>
        <w:t xml:space="preserve">Interconnected Pathway Map: </w:t>
      </w:r>
      <w:r>
        <w:rPr>
          <w:rFonts w:ascii="Calibri" w:hAnsi="Calibri"/>
          <w:color w:val="333333"/>
          <w:sz w:val="21"/>
        </w:rPr>
        <w:t>visualization of how insulin resistance, inflammation, liver function, and cardiovascular risk connect through shared biomarkers and genetic drivers—identifying root cause vs. downstream effects.</w:t>
      </w:r>
    </w:p>
    <w:p>
      <w:pPr>
        <w:pStyle w:val="ListBullet"/>
      </w:pPr>
      <w:r>
        <w:rPr>
          <w:rFonts w:ascii="Calibri" w:hAnsi="Calibri"/>
          <w:b/>
          <w:color w:val="333333"/>
          <w:sz w:val="21"/>
        </w:rPr>
        <w:t xml:space="preserve">Prioritized Action Plan: </w:t>
      </w:r>
      <w:r>
        <w:rPr>
          <w:rFonts w:ascii="Calibri" w:hAnsi="Calibri"/>
          <w:color w:val="333333"/>
          <w:sz w:val="21"/>
        </w:rPr>
        <w:t>ranked interventions by impact and urgency, with evidence citations and expected response timelines.</w:t>
      </w:r>
    </w:p>
    <w:p>
      <w:pPr>
        <w:pStyle w:val="ListBullet"/>
      </w:pPr>
      <w:r>
        <w:rPr>
          <w:rFonts w:ascii="Calibri" w:hAnsi="Calibri"/>
          <w:b/>
          <w:color w:val="333333"/>
          <w:sz w:val="21"/>
        </w:rPr>
        <w:t xml:space="preserve">Monitoring Schedule: </w:t>
      </w:r>
      <w:r>
        <w:rPr>
          <w:rFonts w:ascii="Calibri" w:hAnsi="Calibri"/>
          <w:color w:val="333333"/>
          <w:sz w:val="21"/>
        </w:rPr>
        <w:t>genotype-informed retest intervals—HFE carriers need ferritin every 3 months; stable Lp(a) needs retesting only every 5 years.</w:t>
      </w:r>
    </w:p>
    <w:p>
      <w:pPr>
        <w:pStyle w:val="ListBullet"/>
      </w:pPr>
      <w:r>
        <w:rPr>
          <w:rFonts w:ascii="Calibri" w:hAnsi="Calibri"/>
          <w:b/>
          <w:color w:val="333333"/>
          <w:sz w:val="21"/>
        </w:rPr>
        <w:t xml:space="preserve">Physician Summary: </w:t>
      </w:r>
      <w:r>
        <w:rPr>
          <w:rFonts w:ascii="Calibri" w:hAnsi="Calibri"/>
          <w:color w:val="333333"/>
          <w:sz w:val="21"/>
        </w:rPr>
        <w:t>concise clinical summary formatted for provider review, highlighting findings that require clinical action.</w:t>
      </w:r>
    </w:p>
    <w:p>
      <w:pPr>
        <w:pStyle w:val="Heading1"/>
      </w:pPr>
      <w:r>
        <w:t>Integration with the Broader HCLS AI Factory</w:t>
      </w:r>
    </w:p>
    <w:p>
      <w:pPr/>
      <w:r>
        <w:t>The Precision Biomarker Agent is designed as a first-class workload in the HCLS AI Factory, sharing the same VAST AI OS substrate as the Imaging AI Agent and genomics pipelines.</w:t>
      </w:r>
    </w:p>
    <w:p>
      <w:pPr>
        <w:pStyle w:val="ListBullet"/>
      </w:pPr>
      <w:r>
        <w:rPr>
          <w:rFonts w:ascii="Calibri" w:hAnsi="Calibri"/>
          <w:b/>
          <w:color w:val="333333"/>
          <w:sz w:val="21"/>
        </w:rPr>
        <w:t xml:space="preserve">Biomarkers ↔ Genomics (Parabricks): </w:t>
      </w:r>
      <w:r>
        <w:rPr>
          <w:rFonts w:ascii="Calibri" w:hAnsi="Calibri"/>
          <w:color w:val="333333"/>
          <w:sz w:val="21"/>
        </w:rPr>
        <w:t>the agent consumes germline variant calls from Parabricks for pharmacogenomic and disease risk analysis. When biomarker trajectories suggest progression (e.g., rising PSA, abnormal liver enzymes), the agent can trigger targeted genomic workflows.</w:t>
      </w:r>
    </w:p>
    <w:p>
      <w:pPr>
        <w:pStyle w:val="ListBullet"/>
      </w:pPr>
      <w:r>
        <w:rPr>
          <w:rFonts w:ascii="Calibri" w:hAnsi="Calibri"/>
          <w:b/>
          <w:color w:val="333333"/>
          <w:sz w:val="21"/>
        </w:rPr>
        <w:t xml:space="preserve">Biomarkers ↔ Imaging: </w:t>
      </w:r>
      <w:r>
        <w:rPr>
          <w:rFonts w:ascii="Calibri" w:hAnsi="Calibri"/>
          <w:color w:val="333333"/>
          <w:sz w:val="21"/>
        </w:rPr>
        <w:t>the Imaging AI Agent surfaces phenotypic findings (lung nodule, liver fat fraction); the Biomarker Agent provides the metabolic and genetic context (insulin resistance driving NAFLD, PNPLA3 genotype). Together they produce a complete picture.</w:t>
      </w:r>
    </w:p>
    <w:p>
      <w:pPr>
        <w:pStyle w:val="ListBullet"/>
      </w:pPr>
      <w:r>
        <w:rPr>
          <w:rFonts w:ascii="Calibri" w:hAnsi="Calibri"/>
          <w:b/>
          <w:color w:val="333333"/>
          <w:sz w:val="21"/>
        </w:rPr>
        <w:t xml:space="preserve">Biomarkers ↔ RAG / Clinical Chat (Med42-70B): </w:t>
      </w:r>
      <w:r>
        <w:rPr>
          <w:rFonts w:ascii="Calibri" w:hAnsi="Calibri"/>
          <w:color w:val="333333"/>
          <w:sz w:val="21"/>
        </w:rPr>
        <w:t>InsightEngine uses RAG to ground interpretations in current clinical guidelines, peer-reviewed literature, and population cohort data—ensuring recommendations reflect current evidence.</w:t>
      </w:r>
    </w:p>
    <w:p>
      <w:pPr>
        <w:pStyle w:val="ListBullet"/>
      </w:pPr>
      <w:r>
        <w:rPr>
          <w:rFonts w:ascii="Calibri" w:hAnsi="Calibri"/>
          <w:b/>
          <w:color w:val="333333"/>
          <w:sz w:val="21"/>
        </w:rPr>
        <w:t xml:space="preserve">Biomarkers ↔ Drug Discovery (BioNeMo): </w:t>
      </w:r>
      <w:r>
        <w:rPr>
          <w:rFonts w:ascii="Calibri" w:hAnsi="Calibri"/>
          <w:color w:val="333333"/>
          <w:sz w:val="21"/>
        </w:rPr>
        <w:t>biomarker-defined patient cohorts (e.g., PNPLA3 carriers with elevated ALT and insulin resistance) can feed into drug discovery pipelines for targeted therapeutic development.</w:t>
      </w:r>
    </w:p>
    <w:p>
      <w:pPr>
        <w:pStyle w:val="ListBullet"/>
      </w:pPr>
      <w:r>
        <w:rPr>
          <w:rFonts w:ascii="Calibri" w:hAnsi="Calibri"/>
          <w:b/>
          <w:color w:val="333333"/>
          <w:sz w:val="21"/>
        </w:rPr>
        <w:t xml:space="preserve">Biomarkers ↔ Galleri (Multi-Cancer Early Detection): </w:t>
      </w:r>
      <w:r>
        <w:rPr>
          <w:rFonts w:ascii="Calibri" w:hAnsi="Calibri"/>
          <w:color w:val="333333"/>
          <w:sz w:val="21"/>
        </w:rPr>
        <w:t>the agent integrates Galleri screening results into the patient’s canonical profile, triggering appropriate imaging and genomic follow-up workflows when a cancer signal is detected.</w:t>
      </w:r>
    </w:p>
    <w:p>
      <w:pPr>
        <w:pStyle w:val="Heading1"/>
      </w:pPr>
      <w:r>
        <w:t>Trust, Governance, and Clinical Readiness</w:t>
      </w:r>
    </w:p>
    <w:p>
      <w:pPr/>
      <w:r>
        <w:t>The Precision Biomarker Agent operates within the same governance framework established across the HCLS AI Factory.</w:t>
      </w:r>
    </w:p>
    <w:p>
      <w:pPr>
        <w:pStyle w:val="ListBullet"/>
      </w:pPr>
      <w:r>
        <w:rPr>
          <w:rFonts w:ascii="Calibri" w:hAnsi="Calibri"/>
          <w:b/>
          <w:color w:val="333333"/>
          <w:sz w:val="21"/>
        </w:rPr>
        <w:t xml:space="preserve">Provenance by default: </w:t>
      </w:r>
      <w:r>
        <w:rPr>
          <w:rFonts w:ascii="Calibri" w:hAnsi="Calibri"/>
          <w:color w:val="333333"/>
          <w:sz w:val="21"/>
        </w:rPr>
        <w:t>every interpretation includes model ID, version, evidence sources, confidence levels, and clinical guideline references. Interpretations are traceable to the exact algorithm and data that produced them.</w:t>
      </w:r>
    </w:p>
    <w:p>
      <w:pPr>
        <w:pStyle w:val="ListBullet"/>
      </w:pPr>
      <w:r>
        <w:rPr>
          <w:rFonts w:ascii="Calibri" w:hAnsi="Calibri"/>
          <w:b/>
          <w:color w:val="333333"/>
          <w:sz w:val="21"/>
        </w:rPr>
        <w:t xml:space="preserve">Clinician-in-the-loop: </w:t>
      </w:r>
      <w:r>
        <w:rPr>
          <w:rFonts w:ascii="Calibri" w:hAnsi="Calibri"/>
          <w:color w:val="333333"/>
          <w:sz w:val="21"/>
        </w:rPr>
        <w:t>the agent generates decision support, not diagnoses. Reports include physician summaries designed for clinical review. Findings that require medical action are clearly flagged.</w:t>
      </w:r>
    </w:p>
    <w:p>
      <w:pPr>
        <w:pStyle w:val="ListBullet"/>
      </w:pPr>
      <w:r>
        <w:rPr>
          <w:rFonts w:ascii="Calibri" w:hAnsi="Calibri"/>
          <w:b/>
          <w:color w:val="333333"/>
          <w:sz w:val="21"/>
        </w:rPr>
        <w:t xml:space="preserve">Regulatory alignment: </w:t>
      </w:r>
      <w:r>
        <w:rPr>
          <w:rFonts w:ascii="Calibri" w:hAnsi="Calibri"/>
          <w:color w:val="333333"/>
          <w:sz w:val="21"/>
        </w:rPr>
        <w:t>positioned as wellness and health optimization intelligence for consumer health platforms (Function Health, preventive medicine), with clinical decision support pathways aligned to FDA guidance where applicable.</w:t>
      </w:r>
    </w:p>
    <w:p>
      <w:pPr>
        <w:pStyle w:val="ListBullet"/>
      </w:pPr>
      <w:r>
        <w:rPr>
          <w:rFonts w:ascii="Calibri" w:hAnsi="Calibri"/>
          <w:b/>
          <w:color w:val="333333"/>
          <w:sz w:val="21"/>
        </w:rPr>
        <w:t xml:space="preserve">Longitudinal reproducibility: </w:t>
      </w:r>
      <w:r>
        <w:rPr>
          <w:rFonts w:ascii="Calibri" w:hAnsi="Calibri"/>
          <w:color w:val="333333"/>
          <w:sz w:val="21"/>
        </w:rPr>
        <w:t>canonical biomarker profiles are immutable; when models are updated, previous interpretations remain alongside new ones, enabling controlled comparison and version-managed rollouts.</w:t>
      </w:r>
    </w:p>
    <w:p>
      <w:pPr>
        <w:pStyle w:val="ListBullet"/>
      </w:pPr>
      <w:r>
        <w:rPr>
          <w:rFonts w:ascii="Calibri" w:hAnsi="Calibri"/>
          <w:b/>
          <w:color w:val="333333"/>
          <w:sz w:val="21"/>
        </w:rPr>
        <w:t xml:space="preserve">Privacy and security: </w:t>
      </w:r>
      <w:r>
        <w:rPr>
          <w:rFonts w:ascii="Calibri" w:hAnsi="Calibri"/>
          <w:color w:val="333333"/>
          <w:sz w:val="21"/>
        </w:rPr>
        <w:t>patient biomarker and genomic data never leaves the VAST AI OS infrastructure; least-privilege access and tenant isolation support multi-site deployments; NVIDIA FLARE enables federated model improvement without centralizing data.</w:t>
      </w:r>
    </w:p>
    <w:p>
      <w:pPr>
        <w:pStyle w:val="Heading1"/>
      </w:pPr>
      <w:r>
        <w:t>Competitive Architecture Framing</w:t>
      </w:r>
    </w:p>
    <w:p>
      <w:pPr/>
      <w:r>
        <w:t>Consumer health platforms (Function Health, InsideTracker, SiPhox) provide biomarker collection and basic interpretation. Clinical lab platforms (Quest, Labcorp) provide reference range flagging. Neither correlates biomarkers with genomic variants, models disease trajectories, or provides genotype-adjusted interpretation. They are data collection points, not reasoning platforms.</w:t>
      </w:r>
    </w:p>
    <w:p>
      <w:pPr/>
      <w:r>
        <w:t>Building this capability on storage-centric infrastructure (DDN, WEKA) requires assembling external components: a workflow orchestrator, relational database for longitudinal tracking, vector database for cohort similarity, LLM serving infrastructure for RAG-based interpretation, and separate genomic analysis pipelines. VAST AI OS reduces this integration surface by providing the canonical data substrate (DataStore), global namespace (DataSpace), event-driven orchestration (DataEngine), unified structured + vector query (DataBase), and reasoning (InsightEngine) in a single platform.</w:t>
      </w:r>
    </w:p>
    <w:p>
      <w:pPr>
        <w:pStyle w:val="Heading1"/>
      </w:pPr>
      <w:r>
        <w:t>Conclusion</w:t>
      </w:r>
    </w:p>
    <w:p>
      <w:pPr/>
      <w:r>
        <w:t>Standard blood panel interpretation—comparing each value to a population reference range—wastes the richest single-source health dataset available in routine care. The Precision Biomarker Agent transforms this data into personalized, genotype-aware health intelligence by treating biomarker profiles as canonical, longitudinally tracked, and continuously enrichable with genomic context.</w:t>
      </w:r>
    </w:p>
    <w:p>
      <w:pPr/>
      <w:r>
        <w:t>By pairing NVIDIA accelerated computing (DGX, NIM, FLARE) with VAST AI OS to keep canonical biomarker profiles persistent, queryable, and continuously enrichable, the Precision Biomarker Agent extends the HCLS AI Factory from genomics and imaging into the metabolic, inflammatory, and nutritional domains—and from there into truly holistic, personalized patient care.</w:t>
      </w:r>
    </w:p>
    <w:p>
      <w:pPr>
        <w:pStyle w:val="Heading1"/>
      </w:pPr>
      <w:r>
        <w:t>Appendix A: Variable Dictionary Summary</w:t>
      </w:r>
    </w:p>
    <w:p>
      <w:pPr/>
      <w:r>
        <w:t>The canonical biomarker schema covers 160+ analytes across the following panels:</w:t>
      </w:r>
    </w:p>
    <w:p>
      <w:pPr>
        <w:pStyle w:val="ListBullet"/>
      </w:pPr>
      <w:r>
        <w:rPr>
          <w:rFonts w:ascii="Calibri" w:hAnsi="Calibri"/>
          <w:b/>
          <w:color w:val="333333"/>
          <w:sz w:val="21"/>
        </w:rPr>
        <w:t xml:space="preserve">Core panels (62+ analytes): </w:t>
      </w:r>
      <w:r>
        <w:rPr>
          <w:rFonts w:ascii="Calibri" w:hAnsi="Calibri"/>
          <w:color w:val="333333"/>
          <w:sz w:val="21"/>
        </w:rPr>
        <w:t>CBC + differential (12), metabolic/fasting (5), cardiometabolic/lipids (8), liver function (8), kidney/electrolytes (8), thyroid (4), nutrients (5), inflammation/stress/aging (5), environmental toxins (2), autoimmunity screen (3).</w:t>
      </w:r>
    </w:p>
    <w:p>
      <w:pPr>
        <w:pStyle w:val="ListBullet"/>
      </w:pPr>
      <w:r>
        <w:rPr>
          <w:rFonts w:ascii="Calibri" w:hAnsi="Calibri"/>
          <w:b/>
          <w:color w:val="333333"/>
          <w:sz w:val="21"/>
        </w:rPr>
        <w:t xml:space="preserve">Add-on: Extended autoimmunity (26 markers): </w:t>
      </w:r>
      <w:r>
        <w:rPr>
          <w:rFonts w:ascii="Calibri" w:hAnsi="Calibri"/>
          <w:color w:val="333333"/>
          <w:sz w:val="21"/>
        </w:rPr>
        <w:t>ANA, dsDNA, chromatin, Sm, RNP, SS-A, SS-B, Scl-70, Jo-1, centromere B, complement C3/C4, cardiolipin (IgA/IgG/IgM), beta-2-glycoprotein (IgA/IgG/IgM), RF (IgA/IgG/IgM), CCP, MCV, TPO, ESR.</w:t>
      </w:r>
    </w:p>
    <w:p>
      <w:pPr>
        <w:pStyle w:val="ListBullet"/>
      </w:pPr>
      <w:r>
        <w:rPr>
          <w:rFonts w:ascii="Calibri" w:hAnsi="Calibri"/>
          <w:b/>
          <w:color w:val="333333"/>
          <w:sz w:val="21"/>
        </w:rPr>
        <w:t xml:space="preserve">Add-on: Genetics: </w:t>
      </w:r>
      <w:r>
        <w:rPr>
          <w:rFonts w:ascii="Calibri" w:hAnsi="Calibri"/>
          <w:color w:val="333333"/>
          <w:sz w:val="21"/>
        </w:rPr>
        <w:t>MTHFR C677T (rs1801133), MTHFR A1298C (rs1801131), APOE alleles, plus extended pharmacogenomic panel (CYP2D6, CYP2C19, SLCO1B1, VKORC1).</w:t>
      </w:r>
    </w:p>
    <w:p>
      <w:pPr>
        <w:pStyle w:val="ListBullet"/>
      </w:pPr>
      <w:r>
        <w:rPr>
          <w:rFonts w:ascii="Calibri" w:hAnsi="Calibri"/>
          <w:b/>
          <w:color w:val="333333"/>
          <w:sz w:val="21"/>
        </w:rPr>
        <w:t xml:space="preserve">Add-on: Galleri (GRAIL): </w:t>
      </w:r>
      <w:r>
        <w:rPr>
          <w:rFonts w:ascii="Calibri" w:hAnsi="Calibri"/>
          <w:color w:val="333333"/>
          <w:sz w:val="21"/>
        </w:rPr>
        <w:t>multi-cancer early detection result, predicted cancer signal origin, follow-up recommendation.</w:t>
      </w:r>
    </w:p>
    <w:p>
      <w:pPr>
        <w:pStyle w:val="ListBullet"/>
      </w:pPr>
      <w:r>
        <w:rPr>
          <w:rFonts w:ascii="Calibri" w:hAnsi="Calibri"/>
          <w:b/>
          <w:color w:val="333333"/>
          <w:sz w:val="21"/>
        </w:rPr>
        <w:t xml:space="preserve">Derived indices: </w:t>
      </w:r>
      <w:r>
        <w:rPr>
          <w:rFonts w:ascii="Calibri" w:hAnsi="Calibri"/>
          <w:color w:val="333333"/>
          <w:sz w:val="21"/>
        </w:rPr>
        <w:t>HOMA-IR, NLR, TG/HDL ratio, FIB-4, PhenoAge, lipid ratios, risk bundles.</w:t>
      </w:r>
    </w:p>
    <w:p>
      <w:pPr>
        <w:pStyle w:val="Heading1"/>
      </w:pPr>
      <w:r>
        <w:t>Appendix B: Deployment Roadmap</w:t>
      </w:r>
    </w:p>
    <w:p>
      <w:pPr>
        <w:pStyle w:val="ListBullet"/>
      </w:pPr>
      <w:r>
        <w:rPr>
          <w:rFonts w:ascii="Calibri" w:hAnsi="Calibri"/>
          <w:b/>
          <w:color w:val="333333"/>
          <w:sz w:val="21"/>
        </w:rPr>
        <w:t xml:space="preserve">Phase 1 — Proof Build: </w:t>
      </w:r>
      <w:r>
        <w:rPr>
          <w:rFonts w:ascii="Calibri" w:hAnsi="Calibri"/>
          <w:color w:val="333333"/>
          <w:sz w:val="21"/>
        </w:rPr>
        <w:t>single NVIDIA DGX Spark; end-to-end demonstration with synthetic Function Health data; biological age calculation + disease trajectory modeling validated; canonical biomarker data model proven.</w:t>
      </w:r>
    </w:p>
    <w:p>
      <w:pPr>
        <w:pStyle w:val="ListBullet"/>
      </w:pPr>
      <w:r>
        <w:rPr>
          <w:rFonts w:ascii="Calibri" w:hAnsi="Calibri"/>
          <w:b/>
          <w:color w:val="333333"/>
          <w:sz w:val="21"/>
        </w:rPr>
        <w:t xml:space="preserve">Phase 2 — Consumer health integration: </w:t>
      </w:r>
      <w:r>
        <w:rPr>
          <w:rFonts w:ascii="Calibri" w:hAnsi="Calibri"/>
          <w:color w:val="333333"/>
          <w:sz w:val="21"/>
        </w:rPr>
        <w:t>Function Health API/export ingestion; real patient data with consent; longitudinal tracking across multiple draws; clinical validation with preventive medicine physicians.</w:t>
      </w:r>
    </w:p>
    <w:p>
      <w:pPr>
        <w:pStyle w:val="ListBullet"/>
      </w:pPr>
      <w:r>
        <w:rPr>
          <w:rFonts w:ascii="Calibri" w:hAnsi="Calibri"/>
          <w:b/>
          <w:color w:val="333333"/>
          <w:sz w:val="21"/>
        </w:rPr>
        <w:t xml:space="preserve">Phase 3 — Clinical deployment: </w:t>
      </w:r>
      <w:r>
        <w:rPr>
          <w:rFonts w:ascii="Calibri" w:hAnsi="Calibri"/>
          <w:color w:val="333333"/>
          <w:sz w:val="21"/>
        </w:rPr>
        <w:t>integration with clinical lab systems (Quest, Labcorp via FHIR/HL7); multi-site deployment with federated learning via NVIDIA FLARE; population-scale cohort analysis and outcomes tracking.</w:t>
      </w:r>
    </w:p>
    <w:p>
      <w:pPr>
        <w:pStyle w:val="ListBullet"/>
      </w:pPr>
      <w:r>
        <w:rPr>
          <w:rFonts w:ascii="Calibri" w:hAnsi="Calibri"/>
          <w:b/>
          <w:color w:val="333333"/>
          <w:sz w:val="21"/>
        </w:rPr>
        <w:t xml:space="preserve">Phase 4 — AI Factory at scale: </w:t>
      </w:r>
      <w:r>
        <w:rPr>
          <w:rFonts w:ascii="Calibri" w:hAnsi="Calibri"/>
          <w:color w:val="333333"/>
          <w:sz w:val="21"/>
        </w:rPr>
        <w:t>unified multimodal agent fabric on DGX SuperPOD—biomarkers + genomics + imaging + drug discovery operating as a single, continuously learning substrate for holistic patient care.</w:t>
      </w:r>
    </w:p>
    <w:sectPr w:rsidR="00FC693F" w:rsidRPr="0006063C" w:rsidSect="00034616">
      <w:footerReference w:type="default" r:id="rId9"/>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4" w:space="1" w:color="D0D5DD"/>
      </w:pBdr>
    </w:pPr>
    <w:r>
      <w:rPr>
        <w:rFonts w:ascii="Calibri" w:hAnsi="Calibri"/>
        <w:b/>
        <w:color w:val="1B2333"/>
        <w:sz w:val="14"/>
      </w:rPr>
      <w:t>V A S T</w:t>
    </w:r>
    <w:r>
      <w:rPr>
        <w:rFonts w:ascii="Calibri" w:hAnsi="Calibri"/>
        <w:color w:val="666666"/>
        <w:sz w:val="14"/>
      </w:rPr>
      <w:t xml:space="preserve">  |  </w:t>
    </w:r>
    <w:r>
      <w:rPr>
        <w:rFonts w:ascii="Calibri" w:hAnsi="Calibri"/>
        <w:color w:val="666666"/>
        <w:sz w:val="14"/>
      </w:rPr>
      <w:t>Precision Biomarker Agent in the HCLS AI Factory</w:t>
    </w:r>
    <w:r>
      <w:rPr>
        <w:rFonts w:ascii="Calibri" w:hAnsi="Calibri"/>
        <w:color w:val="666666"/>
        <w:sz w:val="14"/>
      </w:rPr>
      <w:t xml:space="preserve">  |  01/26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48"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0" w:after="280" w:line="264" w:lineRule="auto"/>
      <w:outlineLvl w:val="0"/>
    </w:pPr>
    <w:rPr>
      <w:rFonts w:asciiTheme="majorHAnsi" w:eastAsiaTheme="majorEastAsia" w:hAnsiTheme="majorHAnsi" w:cstheme="majorBidi" w:ascii="Calibri" w:hAnsi="Calibri"/>
      <w:b/>
      <w:bCs/>
      <w:color w:val="1B2333"/>
      <w:sz w:val="56"/>
      <w:szCs w:val="28"/>
    </w:rPr>
  </w:style>
  <w:style w:type="paragraph" w:styleId="Heading2">
    <w:name w:val="heading 2"/>
    <w:basedOn w:val="Normal"/>
    <w:next w:val="Normal"/>
    <w:link w:val="Heading2Char"/>
    <w:uiPriority w:val="9"/>
    <w:unhideWhenUsed/>
    <w:qFormat/>
    <w:rsid w:val="00FC693F"/>
    <w:pPr>
      <w:keepNext/>
      <w:keepLines/>
      <w:spacing w:before="440" w:after="200" w:line="276" w:lineRule="auto"/>
      <w:outlineLvl w:val="1"/>
    </w:pPr>
    <w:rPr>
      <w:rFonts w:asciiTheme="majorHAnsi" w:eastAsiaTheme="majorEastAsia" w:hAnsiTheme="majorHAnsi" w:cstheme="majorBidi" w:ascii="Calibri" w:hAnsi="Calibri"/>
      <w:b/>
      <w:bCs/>
      <w:color w:val="1B2333"/>
      <w:sz w:val="4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48" w:lineRule="auto"/>
      <w:contextualSpacing/>
    </w:pPr>
    <w:rPr>
      <w:rFonts w:ascii="Calibri" w:hAnsi="Calibri"/>
      <w:color w:val="3333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240"/>
    </w:pPr>
    <w:rPr>
      <w:rFonts w:ascii="Calibri" w:hAnsi="Calibri"/>
      <w:b/>
      <w:bCs/>
      <w:i/>
      <w:color w:val="33333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