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80"/>
      </w:pPr>
      <w:r>
        <w:rPr>
          <w:rFonts w:ascii="Calibri" w:hAnsi="Calibri"/>
          <w:color w:val="1AAFCC"/>
          <w:sz w:val="26"/>
        </w:rPr>
        <w:t>Technical briefing plan</w:t>
      </w:r>
    </w:p>
    <w:p>
      <w:pPr>
        <w:spacing w:after="80"/>
      </w:pPr>
      <w:r>
        <w:rPr>
          <w:rFonts w:ascii="Calibri" w:hAnsi="Calibri"/>
          <w:b/>
          <w:color w:val="1B2333"/>
          <w:sz w:val="60"/>
        </w:rPr>
        <w:t>15-Minute Deep Dive:</w:t>
        <w:br/>
        <w:t>Precision Biomarker Agent</w:t>
        <w:br/>
        <w:t>Architecture</w:t>
      </w:r>
    </w:p>
    <w:p>
      <w:pPr>
        <w:spacing w:after="0"/>
      </w:pPr>
      <w:r>
        <w:rPr>
          <w:rFonts w:ascii="Calibri" w:hAnsi="Calibri"/>
          <w:color w:val="1B2333"/>
          <w:sz w:val="28"/>
        </w:rPr>
        <w:t>VAST AI OS + NVIDIA Accelerated Computing</w:t>
      </w:r>
    </w:p>
    <w:p>
      <w:pPr>
        <w:spacing w:after="0" w:before="0"/>
      </w:pPr>
    </w:p>
    <w:p>
      <w:pPr>
        <w:spacing w:after="0" w:before="0"/>
      </w:pPr>
    </w:p>
    <w:p>
      <w:pPr>
        <w:spacing w:after="0" w:before="0"/>
      </w:pPr>
    </w:p>
    <w:p>
      <w:pPr>
        <w:spacing w:after="0"/>
      </w:pPr>
      <w:r>
        <w:rPr>
          <w:rFonts w:ascii="Calibri" w:hAnsi="Calibri"/>
          <w:color w:val="666666"/>
          <w:sz w:val="18"/>
        </w:rPr>
        <w:t>01/26  |  Author: Adam Jones</w:t>
      </w:r>
    </w:p>
    <w:p>
      <w:r>
        <w:br w:type="page"/>
      </w:r>
    </w:p>
    <w:p>
      <w:pPr>
        <w:pStyle w:val="Heading1"/>
      </w:pPr>
      <w:r>
        <w:rPr>
          <w:rFonts w:ascii="Calibri" w:hAnsi="Calibri"/>
          <w:b/>
          <w:color w:val="1B2333"/>
          <w:sz w:val="56"/>
        </w:rPr>
        <w:t>Objective (15 minutes)</w:t>
      </w:r>
    </w:p>
    <w:p>
      <w:pPr/>
      <w:r>
        <w:rPr>
          <w:rFonts w:ascii="Calibri" w:hAnsi="Calibri"/>
          <w:color w:val="333333"/>
          <w:sz w:val="21"/>
        </w:rPr>
        <w:t>Provide enough technical specificity to establish credibility with NVIDIA HCLS leadership and their directs: what is canonical (biomarker profile + genomic variants), how it runs (seven analysis modules orchestrated by DataEngine on DGX Spark), how it reasons (DataBase + InsightEngine with Med42-70B RAG), how outputs are structured (reports, FHIR, pharmacogenomic cards), and what a deployment path looks like.</w:t>
      </w:r>
    </w:p>
    <w:p>
      <w:pPr>
        <w:pStyle w:val="Heading1"/>
      </w:pPr>
      <w:r>
        <w:rPr>
          <w:rFonts w:ascii="Calibri" w:hAnsi="Calibri"/>
          <w:b/>
          <w:color w:val="1B2333"/>
          <w:sz w:val="56"/>
        </w:rPr>
        <w:t>Recommended slide flow (6–8 slides)</w:t>
      </w:r>
    </w:p>
    <w:p>
      <w:pPr>
        <w:pStyle w:val="ListBullet"/>
      </w:pPr>
      <w:r>
        <w:rPr>
          <w:rFonts w:ascii="Calibri" w:hAnsi="Calibri"/>
          <w:b/>
          <w:color w:val="333333"/>
          <w:sz w:val="21"/>
        </w:rPr>
        <w:t>1) The pattern:</w:t>
      </w:r>
      <w:r>
        <w:rPr>
          <w:rFonts w:ascii="Calibri" w:hAnsi="Calibri"/>
          <w:color w:val="333333"/>
          <w:sz w:val="21"/>
        </w:rPr>
        <w:t xml:space="preserve"> Genomics (VCF) → Imaging (canonical imaging state) → Biomarkers (canonical biomarker profile)—same leverage architecture, third modality.</w:t>
      </w:r>
    </w:p>
    <w:p>
      <w:pPr>
        <w:pStyle w:val="ListBullet"/>
      </w:pPr>
      <w:r>
        <w:rPr>
          <w:rFonts w:ascii="Calibri" w:hAnsi="Calibri"/>
          <w:b/>
          <w:color w:val="333333"/>
          <w:sz w:val="21"/>
        </w:rPr>
        <w:t>2) Biomarker agent requirements:</w:t>
      </w:r>
      <w:r>
        <w:rPr>
          <w:rFonts w:ascii="Calibri" w:hAnsi="Calibri"/>
          <w:color w:val="333333"/>
          <w:sz w:val="21"/>
        </w:rPr>
        <w:t xml:space="preserve"> comprehensive panel ingestion (160+ analytes), Parabricks WGS genotype extraction (15 loci), seven-module analysis, longitudinal trajectory memory, evidence-grounded explanation via RAG.</w:t>
      </w:r>
    </w:p>
    <w:p>
      <w:pPr>
        <w:pStyle w:val="ListBullet"/>
      </w:pPr>
      <w:r>
        <w:rPr>
          <w:rFonts w:ascii="Calibri" w:hAnsi="Calibri"/>
          <w:b/>
          <w:color w:val="333333"/>
          <w:sz w:val="21"/>
        </w:rPr>
        <w:t>3) Data Plane deep dive:</w:t>
      </w:r>
      <w:r>
        <w:rPr>
          <w:rFonts w:ascii="Calibri" w:hAnsi="Calibri"/>
          <w:color w:val="333333"/>
          <w:sz w:val="21"/>
        </w:rPr>
        <w:t xml:space="preserve"> DataSpace global namespace + DataStore; canonical biomarker profile structure (raw values, flags, derived indices, biological age scores, genomic variants, provenance); longitudinal delta tracking across time points.</w:t>
      </w:r>
    </w:p>
    <w:p>
      <w:pPr>
        <w:pStyle w:val="ListBullet"/>
      </w:pPr>
      <w:r>
        <w:rPr>
          <w:rFonts w:ascii="Calibri" w:hAnsi="Calibri"/>
          <w:b/>
          <w:color w:val="333333"/>
          <w:sz w:val="21"/>
        </w:rPr>
        <w:t>4) Execution Plane deep dive:</w:t>
      </w:r>
      <w:r>
        <w:rPr>
          <w:rFonts w:ascii="Calibri" w:hAnsi="Calibri"/>
          <w:color w:val="333333"/>
          <w:sz w:val="21"/>
        </w:rPr>
        <w:t xml:space="preserve"> DataEngine orchestrating seven analysis modules on NVIDIA DGX Spark—biological age estimation (PhenoAge, GrimAge), pre-symptomatic disease trajectory modeling, genotype-adjusted reference ranges, inflammatory phenotyping (hs-CRP hepatic vs. NLR cellular), pharmacogenomic mapping (CPIC), intervention planning, and monitoring schedule generation.</w:t>
      </w:r>
    </w:p>
    <w:p>
      <w:pPr>
        <w:pStyle w:val="ListBullet"/>
      </w:pPr>
      <w:r>
        <w:rPr>
          <w:rFonts w:ascii="Calibri" w:hAnsi="Calibri"/>
          <w:b/>
          <w:color w:val="333333"/>
          <w:sz w:val="21"/>
        </w:rPr>
        <w:t>5) Reasoning Plane deep dive:</w:t>
      </w:r>
      <w:r>
        <w:rPr>
          <w:rFonts w:ascii="Calibri" w:hAnsi="Calibri"/>
          <w:color w:val="333333"/>
          <w:sz w:val="21"/>
        </w:rPr>
        <w:t xml:space="preserve"> DataBase (SQL+vector) + InsightEngine; Med42-70B RAG for evidence grounding; longitudinal comparison and delta analysis; cohort retrieval via embedding similarity (patients like this); cross-modal context enrichment from imaging and genomics agents.</w:t>
      </w:r>
    </w:p>
    <w:p>
      <w:pPr>
        <w:pStyle w:val="ListBullet"/>
      </w:pPr>
      <w:r>
        <w:rPr>
          <w:rFonts w:ascii="Calibri" w:hAnsi="Calibri"/>
          <w:b/>
          <w:color w:val="333333"/>
          <w:sz w:val="21"/>
        </w:rPr>
        <w:t>6) Three intelligence examples:</w:t>
      </w:r>
      <w:r>
        <w:rPr>
          <w:rFonts w:ascii="Calibri" w:hAnsi="Calibri"/>
          <w:color w:val="333333"/>
          <w:sz w:val="21"/>
        </w:rPr>
        <w:t xml:space="preserve"> (1) Prediabetic trajectory with TCF7L2 genetic context and 5–7 year horizon; (2) Genotype-masked findings across liver (PNPLA3), thyroid (DIO2), and methylation (MTHFR); (3) Pharmacogenomic drug interaction profile with CPIC-aligned guidance for 8 drug classes.</w:t>
      </w:r>
    </w:p>
    <w:p>
      <w:pPr>
        <w:pStyle w:val="ListBullet"/>
      </w:pPr>
      <w:r>
        <w:rPr>
          <w:rFonts w:ascii="Calibri" w:hAnsi="Calibri"/>
          <w:b/>
          <w:color w:val="333333"/>
          <w:sz w:val="21"/>
        </w:rPr>
        <w:t>7) Scale &amp; operations:</w:t>
      </w:r>
      <w:r>
        <w:rPr>
          <w:rFonts w:ascii="Calibri" w:hAnsi="Calibri"/>
          <w:color w:val="333333"/>
          <w:sz w:val="21"/>
        </w:rPr>
        <w:t xml:space="preserve"> DGX Spark to SuperPOD; DataSpace global namespace for multi-site longitudinal tracking; governance, audit, reproducibility; population-scale cohort analysis and phenotype retrieval.</w:t>
      </w:r>
    </w:p>
    <w:p>
      <w:pPr>
        <w:pStyle w:val="ListBullet"/>
      </w:pPr>
      <w:r>
        <w:rPr>
          <w:rFonts w:ascii="Calibri" w:hAnsi="Calibri"/>
          <w:b/>
          <w:color w:val="333333"/>
          <w:sz w:val="21"/>
        </w:rPr>
        <w:t>8) Factory integration:</w:t>
      </w:r>
      <w:r>
        <w:rPr>
          <w:rFonts w:ascii="Calibri" w:hAnsi="Calibri"/>
          <w:color w:val="333333"/>
          <w:sz w:val="21"/>
        </w:rPr>
        <w:t xml:space="preserve"> biomarkers ↔ imaging (Imaging AI Agent) ↔ genomics (Parabricks) ↔ outcomes ↔ therapy/drug discovery (BioNeMo)—biomarker-defined cohorts feeding downstream pipelines; insulin resistance context enriching imaging liver fat findings; PNPLA3 genotype informing drug discovery targets.</w:t>
      </w:r>
    </w:p>
    <w:p>
      <w:pPr>
        <w:pStyle w:val="Heading1"/>
      </w:pPr>
      <w:r>
        <w:rPr>
          <w:rFonts w:ascii="Calibri" w:hAnsi="Calibri"/>
          <w:b/>
          <w:color w:val="1B2333"/>
          <w:sz w:val="56"/>
        </w:rPr>
        <w:t>15-minute talk track (timed)</w:t>
      </w:r>
    </w:p>
    <w:p>
      <w:pPr>
        <w:pStyle w:val="ListBullet"/>
      </w:pPr>
      <w:r>
        <w:rPr>
          <w:rFonts w:ascii="Calibri" w:hAnsi="Calibri"/>
          <w:b/>
          <w:color w:val="333333"/>
          <w:sz w:val="21"/>
        </w:rPr>
        <w:t>0:00–1:00 —</w:t>
      </w:r>
      <w:r>
        <w:rPr>
          <w:rFonts w:ascii="Calibri" w:hAnsi="Calibri"/>
          <w:color w:val="333333"/>
          <w:sz w:val="21"/>
        </w:rPr>
        <w:t xml:space="preserve"> Re-anchor the proven pattern from genomics and imaging; introduce canonical biomarker profile as the third leverage point. “Just as VCF became computable for genomics and canonical imaging state for radiology, the canonical biomarker profile does the same for blood-based precision medicine.”</w:t>
      </w:r>
    </w:p>
    <w:p>
      <w:pPr>
        <w:pStyle w:val="ListBullet"/>
      </w:pPr>
      <w:r>
        <w:rPr>
          <w:rFonts w:ascii="Calibri" w:hAnsi="Calibri"/>
          <w:b/>
          <w:color w:val="333333"/>
          <w:sz w:val="21"/>
        </w:rPr>
        <w:t>1:00–3:30 —</w:t>
      </w:r>
      <w:r>
        <w:rPr>
          <w:rFonts w:ascii="Calibri" w:hAnsi="Calibri"/>
          <w:color w:val="333333"/>
          <w:sz w:val="21"/>
        </w:rPr>
        <w:t xml:space="preserve"> Define canonical biomarker profile: 160+ analytes + 15 genomic loci (MTHFR, APOE, TCF7L2, PCSK9, PNPLA3, TM6SF2, HSD17B13, HFE, FADS1/FADS2, DIO2, CYP2D6, CYP2C19, SLCO1B1, VKORC1) + derived indices (HOMA-IR, NLR, lipid ratios) + biological age scores (PhenoAge, GrimAge with GDF-15 r=0.664 correlation) + provenance. Explain why genotype-adjusted reference ranges replace population averages: PNPLA3 carriers accumulate liver fat at “normal” ALT; DIO2 carriers have impaired T4→T3 conversion at “normal” TSH.</w:t>
      </w:r>
    </w:p>
    <w:p>
      <w:pPr>
        <w:pStyle w:val="ListBullet"/>
      </w:pPr>
      <w:r>
        <w:rPr>
          <w:rFonts w:ascii="Calibri" w:hAnsi="Calibri"/>
          <w:b/>
          <w:color w:val="333333"/>
          <w:sz w:val="21"/>
        </w:rPr>
        <w:t>3:30–7:30 —</w:t>
      </w:r>
      <w:r>
        <w:rPr>
          <w:rFonts w:ascii="Calibri" w:hAnsi="Calibri"/>
          <w:color w:val="333333"/>
          <w:sz w:val="21"/>
        </w:rPr>
        <w:t xml:space="preserve"> 3-plane architecture deep dive: map each VAST layer to agent capability. Data Plane: DataStore persists canonical profiles; DataSpace provides global namespace for longitudinal tracking. Execution Plane: DataEngine orchestrates seven analysis modules on DGX Spark—biological age, disease trajectories, genotype-adjusted ranges, inflammatory phenotyping, pharmacogenomics, interventions, monitoring. Reasoning Plane: DataBase (SQL for structured queries + vector for phenotype similarity) + InsightEngine with Med42-70B RAG for evidence grounding against clinical literature.</w:t>
      </w:r>
    </w:p>
    <w:p>
      <w:pPr>
        <w:pStyle w:val="ListBullet"/>
      </w:pPr>
      <w:r>
        <w:rPr>
          <w:rFonts w:ascii="Calibri" w:hAnsi="Calibri"/>
          <w:b/>
          <w:color w:val="333333"/>
          <w:sz w:val="21"/>
        </w:rPr>
        <w:t>7:30–11:30 —</w:t>
      </w:r>
      <w:r>
        <w:rPr>
          <w:rFonts w:ascii="Calibri" w:hAnsi="Calibri"/>
          <w:color w:val="333333"/>
          <w:sz w:val="21"/>
        </w:rPr>
        <w:t xml:space="preserve"> Walk the three intelligence examples in detail: (1) Diabetes trajectory—HOMA-IR 4.5 + fasting glucose 98 + HbA1c 5.5% + TCF7L2 CT (1.4× per T allele) → composite risk score → 5–7 year horizon → 58% reversible (DPP) → genotype-specific dietary guidance. (2) Genotype-masked findings—ALT 34 reclassified to ELEVATED via PNPLA3 threshold (≤25); TSH 3.6 reclassified to MONITOR via DIO2 threshold (≤2.5); homocysteine 13.2 reclassified to ELEVATED via MTHFR compound het threshold (≤10). (3) Pharmacogenomic card—CYP2D6 *1/*4 (codeine/tramadol dose adjustment), CYP2C19 *1/*2 (clopidogrel alternative), SLCO1B1 TC (rosuvastatin preferred over simvastatin), MTHFR compound het (methylfolate instead of folic acid).</w:t>
      </w:r>
    </w:p>
    <w:p>
      <w:pPr>
        <w:pStyle w:val="ListBullet"/>
      </w:pPr>
      <w:r>
        <w:rPr>
          <w:rFonts w:ascii="Calibri" w:hAnsi="Calibri"/>
          <w:b/>
          <w:color w:val="333333"/>
          <w:sz w:val="21"/>
        </w:rPr>
        <w:t>11:30–13:30 —</w:t>
      </w:r>
      <w:r>
        <w:rPr>
          <w:rFonts w:ascii="Calibri" w:hAnsi="Calibri"/>
          <w:color w:val="333333"/>
          <w:sz w:val="21"/>
        </w:rPr>
        <w:t xml:space="preserve"> Scale + operational readiness: DGX Spark for department-level, SuperPOD for enterprise and population scale. DataSpace global namespace enables multi-site longitudinal tracking. Event-driven orchestration supports thousands of patient profiles in parallel. Governance: full provenance, reproducible re-runs, controlled reprocessing as algorithms evolve. Outputs are structured, evidence-grounded, and clinician-reviewable.</w:t>
      </w:r>
    </w:p>
    <w:p>
      <w:pPr>
        <w:pStyle w:val="ListBullet"/>
      </w:pPr>
      <w:r>
        <w:rPr>
          <w:rFonts w:ascii="Calibri" w:hAnsi="Calibri"/>
          <w:b/>
          <w:color w:val="333333"/>
          <w:sz w:val="21"/>
        </w:rPr>
        <w:t>13:30–15:00 —</w:t>
      </w:r>
      <w:r>
        <w:rPr>
          <w:rFonts w:ascii="Calibri" w:hAnsi="Calibri"/>
          <w:color w:val="333333"/>
          <w:sz w:val="21"/>
        </w:rPr>
        <w:t xml:space="preserve"> Close with factory expansion: biomarkers become a first-class evidence stream. Insulin resistance context enriches the Imaging AI Agent’s liver fat findings; PNPLA3 genotype informs BioNeMo drug discovery targets; biomarker-defined cohorts feed population-scale outcomes analysis. Propose next step: joint reference architecture + pilot with enterprise wellness or precision medicine program.</w:t>
      </w:r>
    </w:p>
    <w:p>
      <w:pPr>
        <w:pStyle w:val="Heading1"/>
      </w:pPr>
      <w:r>
        <w:rPr>
          <w:rFonts w:ascii="Calibri" w:hAnsi="Calibri"/>
          <w:b/>
          <w:color w:val="1B2333"/>
          <w:sz w:val="56"/>
        </w:rPr>
        <w:t>Q&amp;A prep (technical)</w:t>
      </w:r>
    </w:p>
    <w:p>
      <w:pPr>
        <w:pStyle w:val="ListBullet"/>
      </w:pPr>
      <w:r>
        <w:rPr>
          <w:rFonts w:ascii="Calibri" w:hAnsi="Calibri"/>
          <w:b/>
          <w:color w:val="333333"/>
          <w:sz w:val="21"/>
        </w:rPr>
        <w:t>How do genotype-adjusted reference ranges work?</w:t>
      </w:r>
      <w:r>
        <w:rPr>
          <w:rFonts w:ascii="Calibri" w:hAnsi="Calibri"/>
          <w:color w:val="333333"/>
          <w:sz w:val="21"/>
        </w:rPr>
        <w:t xml:space="preserve"> The agent stores published evidence linking specific variants to clinically meaningful threshold shifts (e.g., PNPLA3 I148M → ALT ≤25 U/L instead of 7–56). Adjustments are applied only where evidence supports reclassification. The standard range, genotype, adjusted threshold, patient value, and reclassification are all surfaced in the report for clinician review.</w:t>
      </w:r>
    </w:p>
    <w:p>
      <w:pPr>
        <w:pStyle w:val="ListBullet"/>
      </w:pPr>
      <w:r>
        <w:rPr>
          <w:rFonts w:ascii="Calibri" w:hAnsi="Calibri"/>
          <w:b/>
          <w:color w:val="333333"/>
          <w:sz w:val="21"/>
        </w:rPr>
        <w:t>How does biological age estimation work?</w:t>
      </w:r>
      <w:r>
        <w:rPr>
          <w:rFonts w:ascii="Calibri" w:hAnsi="Calibri"/>
          <w:color w:val="333333"/>
          <w:sz w:val="21"/>
        </w:rPr>
        <w:t xml:space="preserve"> PhenoAge (Levine 2018) uses 9 blood biomarkers + chronological age. GrimAge (Lu 2019) uses DNA-methylation surrogates for plasma proteins (GDF-15 r=0.664, cystatin C, leptin, PAI-1, TIMP-1). Both produce a biological age delta that tracks intervention response longitudinally.</w:t>
      </w:r>
    </w:p>
    <w:p>
      <w:pPr>
        <w:pStyle w:val="ListBullet"/>
      </w:pPr>
      <w:r>
        <w:rPr>
          <w:rFonts w:ascii="Calibri" w:hAnsi="Calibri"/>
          <w:b/>
          <w:color w:val="333333"/>
          <w:sz w:val="21"/>
        </w:rPr>
        <w:t>Where does pharmacogenomic guidance come from?</w:t>
      </w:r>
      <w:r>
        <w:rPr>
          <w:rFonts w:ascii="Calibri" w:hAnsi="Calibri"/>
          <w:color w:val="333333"/>
          <w:sz w:val="21"/>
        </w:rPr>
        <w:t xml:space="preserve"> Variant-to-drug mappings follow CPIC (Clinical Pharmacogenetics Implementation Consortium) guidelines. The agent extracts star alleles from Parabricks WGS VCF, determines metabolizer phenotype, and generates prescribing context for commonly encountered drug classes (opioids, statins, antiplatelets, anticoagulants, SSRIs, PPIs).</w:t>
      </w:r>
    </w:p>
    <w:p>
      <w:pPr>
        <w:pStyle w:val="ListBullet"/>
      </w:pPr>
      <w:r>
        <w:rPr>
          <w:rFonts w:ascii="Calibri" w:hAnsi="Calibri"/>
          <w:b/>
          <w:color w:val="333333"/>
          <w:sz w:val="21"/>
        </w:rPr>
        <w:t>How do biomarker and imaging agents interact?</w:t>
      </w:r>
      <w:r>
        <w:rPr>
          <w:rFonts w:ascii="Calibri" w:hAnsi="Calibri"/>
          <w:color w:val="333333"/>
          <w:sz w:val="21"/>
        </w:rPr>
        <w:t xml:space="preserve"> The Imaging AI Agent surfaces phenotypic findings (e.g., liver fat fraction, lung nodule). The Biomarker Agent provides the metabolic and genetic context (insulin resistance driving NAFLD, PNPLA3 genotype). Together they produce a complete picture via cross-modal context enrichment in InsightEngine.</w:t>
      </w:r>
    </w:p>
    <w:p>
      <w:pPr>
        <w:pStyle w:val="ListBullet"/>
      </w:pPr>
      <w:r>
        <w:rPr>
          <w:rFonts w:ascii="Calibri" w:hAnsi="Calibri"/>
          <w:b/>
          <w:color w:val="333333"/>
          <w:sz w:val="21"/>
        </w:rPr>
        <w:t>How do DDN/WEKA stacks differ?</w:t>
      </w:r>
      <w:r>
        <w:rPr>
          <w:rFonts w:ascii="Calibri" w:hAnsi="Calibri"/>
          <w:color w:val="333333"/>
          <w:sz w:val="21"/>
        </w:rPr>
        <w:t xml:space="preserve"> They can store and serve data for AI workloads, but the agent substrate must be assembled from external systems (workflow orchestrator + relational DB + vector DB + reasoning engine), increasing integration complexity. VAST AI OS provides the native substrate—storage, execution, query, and reasoning—in a single platform.</w:t>
      </w:r>
    </w:p>
    <w:p>
      <w:pPr>
        <w:pStyle w:val="ListBullet"/>
      </w:pPr>
      <w:r>
        <w:rPr>
          <w:rFonts w:ascii="Calibri" w:hAnsi="Calibri"/>
          <w:b/>
          <w:color w:val="333333"/>
          <w:sz w:val="21"/>
        </w:rPr>
        <w:t>What NVIDIA technologies are used?</w:t>
      </w:r>
      <w:r>
        <w:rPr>
          <w:rFonts w:ascii="Calibri" w:hAnsi="Calibri"/>
          <w:color w:val="333333"/>
          <w:sz w:val="21"/>
        </w:rPr>
        <w:t xml:space="preserve"> NVIDIA Parabricks 4.6 for WGS variant calling; DGX Spark for compute; Med42-70B via NIM for RAG evidence grounding; the broader HCLS AI Factory links to BioNeMo for drug discovery and the Imaging AI Agent for cross-modal phenotyping.</w:t>
      </w:r>
    </w:p>
    <w:p>
      <w:pPr>
        <w:pStyle w:val="Heading1"/>
      </w:pPr>
      <w:r>
        <w:rPr>
          <w:rFonts w:ascii="Calibri" w:hAnsi="Calibri"/>
          <w:b/>
          <w:color w:val="1B2333"/>
          <w:sz w:val="56"/>
        </w:rPr>
        <w:t>Proposed next actions (make it easy to say yes)</w:t>
      </w:r>
    </w:p>
    <w:p>
      <w:pPr>
        <w:pStyle w:val="ListBullet"/>
      </w:pPr>
      <w:r>
        <w:rPr>
          <w:rFonts w:ascii="Calibri" w:hAnsi="Calibri"/>
          <w:b/>
          <w:color w:val="333333"/>
          <w:sz w:val="21"/>
        </w:rPr>
        <w:t>Draft a joint VAST + NVIDIA reference architecture</w:t>
      </w:r>
      <w:r>
        <w:rPr>
          <w:rFonts w:ascii="Calibri" w:hAnsi="Calibri"/>
          <w:color w:val="333333"/>
          <w:sz w:val="21"/>
        </w:rPr>
        <w:t xml:space="preserve"> (Precision Biomarker Agent AI Factory) with named analysis modules, DGX Spark integration points, and cross-modal links to imaging and genomics agents.</w:t>
      </w:r>
    </w:p>
    <w:p>
      <w:pPr>
        <w:pStyle w:val="ListBullet"/>
      </w:pPr>
      <w:r>
        <w:rPr>
          <w:rFonts w:ascii="Calibri" w:hAnsi="Calibri"/>
          <w:b/>
          <w:color w:val="333333"/>
          <w:sz w:val="21"/>
        </w:rPr>
        <w:t>Identify 1–2 pilot cohorts</w:t>
      </w:r>
      <w:r>
        <w:rPr>
          <w:rFonts w:ascii="Calibri" w:hAnsi="Calibri"/>
          <w:color w:val="333333"/>
          <w:sz w:val="21"/>
        </w:rPr>
        <w:t xml:space="preserve"> (e.g., enterprise wellness program, precision medicine clinic, clinical trial stratification) and a target clinical partner.</w:t>
      </w:r>
    </w:p>
    <w:p>
      <w:pPr>
        <w:pStyle w:val="ListBullet"/>
      </w:pPr>
      <w:r>
        <w:rPr>
          <w:rFonts w:ascii="Calibri" w:hAnsi="Calibri"/>
          <w:b/>
          <w:color w:val="333333"/>
          <w:sz w:val="21"/>
        </w:rPr>
        <w:t>Define success KPIs:</w:t>
      </w:r>
      <w:r>
        <w:rPr>
          <w:rFonts w:ascii="Calibri" w:hAnsi="Calibri"/>
          <w:color w:val="333333"/>
          <w:sz w:val="21"/>
        </w:rPr>
        <w:t xml:space="preserve"> number of genotype-adjusted reclassifications per 100 patients, pre-symptomatic disease detections, biological age trajectory reversals, pharmacogenomic interventions surfaced, time-to-report.</w:t>
      </w:r>
    </w:p>
    <w:p>
      <w:pPr>
        <w:pStyle w:val="ListBullet"/>
      </w:pPr>
      <w:r>
        <w:rPr>
          <w:rFonts w:ascii="Calibri" w:hAnsi="Calibri"/>
          <w:b/>
          <w:color w:val="333333"/>
          <w:sz w:val="21"/>
        </w:rPr>
        <w:t>Package a demo + short video walkthrough</w:t>
      </w:r>
      <w:r>
        <w:rPr>
          <w:rFonts w:ascii="Calibri" w:hAnsi="Calibri"/>
          <w:color w:val="333333"/>
          <w:sz w:val="21"/>
        </w:rPr>
        <w:t xml:space="preserve"> aligned to NVIDIA AI Factory messaging, showing end-to-end data trace from blood panel ingestion through genotype-aware intelligence report.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 A S T  |  Precision Biomarker Agent — 15-Minute Deep Dive Plan  |  01/26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