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HCLS AI Factory: Function Health Biomarker-Genomic Correlation Agent</w:t>
      </w:r>
    </w:p>
    <w:p>
      <w:pPr>
        <w:jc w:val="center"/>
      </w:pPr>
      <w:r>
        <w:t>Advanced Design Document - Version 2.0</w:t>
      </w:r>
    </w:p>
    <w:p/>
    <w:p>
      <w:r>
        <w:rPr>
          <w:b/>
        </w:rPr>
        <w:t xml:space="preserve">Author: </w:t>
      </w:r>
      <w:r>
        <w:t>Adam Jones</w:t>
        <w:br/>
      </w:r>
      <w:r>
        <w:rPr>
          <w:b/>
        </w:rPr>
        <w:t xml:space="preserve">Date: </w:t>
      </w:r>
      <w:r>
        <w:t>January 2026</w:t>
        <w:br/>
      </w:r>
      <w:r>
        <w:rPr>
          <w:b/>
        </w:rPr>
        <w:t xml:space="preserve">Version: </w:t>
      </w:r>
      <w:r>
        <w:t>2.0 - Enhanced Edition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Executive Summary</w:t>
      </w:r>
    </w:p>
    <w:p>
      <w:r>
        <w:t>This document presents a next-generation AI Agent that transforms comprehensive blood biomarker data from Function Health into life-changing personalized health insights through deep integration with genomic variant analysis. This agent goes far beyond simple reference range checking to provide:</w:t>
        <w:br/>
        <w:br/>
        <w:t>• Biological Age Calculation using blood biomarkers correlated with epigenetic clocks</w:t>
        <w:br/>
        <w:t>• Pre-Symptomatic Disease Detection - identifying disease trajectories 5-10 years before clinical diagnosis</w:t>
        <w:br/>
        <w:t>• Genotype-Adjusted Optimal Ranges - personalized biomarker thresholds based on individual genetics</w:t>
        <w:br/>
        <w:t>• Disease Stage Assessment - determining where someone falls on disease progression continuum</w:t>
        <w:br/>
        <w:t>• Biomarker Trajectory Modeling - longitudinal analysis predicting future health states</w:t>
        <w:br/>
        <w:t>• Pharmacogenomic Optimization - drug-gene interactions with dosing guidance</w:t>
        <w:br/>
        <w:t>• Multi-Pathway Risk Integration - connecting inflammation, metabolism, cardiovascular, and cognitive pathways</w:t>
        <w:br/>
        <w:br/>
        <w:t>The Vision: A person uploads their Function Health results and receives insights that would typically require a team of specialists: a cardiologist, endocrinologist, geneticist, pharmacologist, and longevity researcher - all synthesized into actionable intelligence.</w:t>
      </w:r>
    </w:p>
    <w:p>
      <w:pPr>
        <w:pStyle w:val="Heading1"/>
      </w:pPr>
      <w:r>
        <w:t>Part I: Revolutionary Capabilities</w:t>
      </w:r>
    </w:p>
    <w:p>
      <w:pPr>
        <w:pStyle w:val="Heading2"/>
      </w:pPr>
      <w:r>
        <w:t>1. Biological Age Engine</w:t>
      </w:r>
    </w:p>
    <w:p>
      <w:r>
        <w:t>The agent calculates biological age using biomarkers that correlate with validated epigenetic clocks (GrimAge, PhenoAge, DunedinPACE).</w:t>
      </w:r>
    </w:p>
    <w:p>
      <w:pPr>
        <w:pStyle w:val="Heading3"/>
      </w:pPr>
      <w:r>
        <w:t>Blood Biomarkers That Predict Biological 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Biomarker</w:t>
            </w:r>
          </w:p>
        </w:tc>
        <w:tc>
          <w:tcPr>
            <w:tcW w:type="dxa" w:w="2880"/>
          </w:tcPr>
          <w:p>
            <w:r>
              <w:t>Epigenetic Clock Correlation</w:t>
            </w:r>
          </w:p>
        </w:tc>
        <w:tc>
          <w:tcPr>
            <w:tcW w:type="dxa" w:w="2880"/>
          </w:tcPr>
          <w:p>
            <w:r>
              <w:t>What It Reveals</w:t>
            </w:r>
          </w:p>
        </w:tc>
      </w:tr>
      <w:tr>
        <w:tc>
          <w:tcPr>
            <w:tcW w:type="dxa" w:w="2880"/>
          </w:tcPr>
          <w:p>
            <w:r>
              <w:t>GDF-15</w:t>
            </w:r>
          </w:p>
        </w:tc>
        <w:tc>
          <w:tcPr>
            <w:tcW w:type="dxa" w:w="2880"/>
          </w:tcPr>
          <w:p>
            <w:r>
              <w:t>Strong correlation with GrimAge (r=0.664)</w:t>
            </w:r>
          </w:p>
        </w:tc>
        <w:tc>
          <w:tcPr>
            <w:tcW w:type="dxa" w:w="2880"/>
          </w:tcPr>
          <w:p>
            <w:r>
              <w:t>Mitochondrial stress, cellular senescence, all-cause mortality</w:t>
            </w:r>
          </w:p>
        </w:tc>
      </w:tr>
      <w:tr>
        <w:tc>
          <w:tcPr>
            <w:tcW w:type="dxa" w:w="2880"/>
          </w:tcPr>
          <w:p>
            <w:r>
              <w:t>Cystatin C</w:t>
            </w:r>
          </w:p>
        </w:tc>
        <w:tc>
          <w:tcPr>
            <w:tcW w:type="dxa" w:w="2880"/>
          </w:tcPr>
          <w:p>
            <w:r>
              <w:t>GrimAge component</w:t>
            </w:r>
          </w:p>
        </w:tc>
        <w:tc>
          <w:tcPr>
            <w:tcW w:type="dxa" w:w="2880"/>
          </w:tcPr>
          <w:p>
            <w:r>
              <w:t>Kidney function beyond creatinine, CV mortality</w:t>
            </w:r>
          </w:p>
        </w:tc>
      </w:tr>
      <w:tr>
        <w:tc>
          <w:tcPr>
            <w:tcW w:type="dxa" w:w="2880"/>
          </w:tcPr>
          <w:p>
            <w:r>
              <w:t>hs-CRP</w:t>
            </w:r>
          </w:p>
        </w:tc>
        <w:tc>
          <w:tcPr>
            <w:tcW w:type="dxa" w:w="2880"/>
          </w:tcPr>
          <w:p>
            <w:r>
              <w:t>PhenoAge component</w:t>
            </w:r>
          </w:p>
        </w:tc>
        <w:tc>
          <w:tcPr>
            <w:tcW w:type="dxa" w:w="2880"/>
          </w:tcPr>
          <w:p>
            <w:r>
              <w:t>Systemic inflammation, vascular aging</w:t>
            </w:r>
          </w:p>
        </w:tc>
      </w:tr>
      <w:tr>
        <w:tc>
          <w:tcPr>
            <w:tcW w:type="dxa" w:w="2880"/>
          </w:tcPr>
          <w:p>
            <w:r>
              <w:t>Albumin</w:t>
            </w:r>
          </w:p>
        </w:tc>
        <w:tc>
          <w:tcPr>
            <w:tcW w:type="dxa" w:w="2880"/>
          </w:tcPr>
          <w:p>
            <w:r>
              <w:t>PhenoAge component (inverse)</w:t>
            </w:r>
          </w:p>
        </w:tc>
        <w:tc>
          <w:tcPr>
            <w:tcW w:type="dxa" w:w="2880"/>
          </w:tcPr>
          <w:p>
            <w:r>
              <w:t>Liver synthetic function, nutritional status</w:t>
            </w:r>
          </w:p>
        </w:tc>
      </w:tr>
      <w:tr>
        <w:tc>
          <w:tcPr>
            <w:tcW w:type="dxa" w:w="2880"/>
          </w:tcPr>
          <w:p>
            <w:r>
              <w:t>Lymphocyte %</w:t>
            </w:r>
          </w:p>
        </w:tc>
        <w:tc>
          <w:tcPr>
            <w:tcW w:type="dxa" w:w="2880"/>
          </w:tcPr>
          <w:p>
            <w:r>
              <w:t>PhenoAge component</w:t>
            </w:r>
          </w:p>
        </w:tc>
        <w:tc>
          <w:tcPr>
            <w:tcW w:type="dxa" w:w="2880"/>
          </w:tcPr>
          <w:p>
            <w:r>
              <w:t>Immune aging (immunosenescence)</w:t>
            </w:r>
          </w:p>
        </w:tc>
      </w:tr>
      <w:tr>
        <w:tc>
          <w:tcPr>
            <w:tcW w:type="dxa" w:w="2880"/>
          </w:tcPr>
          <w:p>
            <w:r>
              <w:t>RDW</w:t>
            </w:r>
          </w:p>
        </w:tc>
        <w:tc>
          <w:tcPr>
            <w:tcW w:type="dxa" w:w="2880"/>
          </w:tcPr>
          <w:p>
            <w:r>
              <w:t>PhenoAge component</w:t>
            </w:r>
          </w:p>
        </w:tc>
        <w:tc>
          <w:tcPr>
            <w:tcW w:type="dxa" w:w="2880"/>
          </w:tcPr>
          <w:p>
            <w:r>
              <w:t>Bone marrow aging, chronic disease burden</w:t>
            </w:r>
          </w:p>
        </w:tc>
      </w:tr>
      <w:tr>
        <w:tc>
          <w:tcPr>
            <w:tcW w:type="dxa" w:w="2880"/>
          </w:tcPr>
          <w:p>
            <w:r>
              <w:t>MCV</w:t>
            </w:r>
          </w:p>
        </w:tc>
        <w:tc>
          <w:tcPr>
            <w:tcW w:type="dxa" w:w="2880"/>
          </w:tcPr>
          <w:p>
            <w:r>
              <w:t>PhenoAge component</w:t>
            </w:r>
          </w:p>
        </w:tc>
        <w:tc>
          <w:tcPr>
            <w:tcW w:type="dxa" w:w="2880"/>
          </w:tcPr>
          <w:p>
            <w:r>
              <w:t>Nutritional deficiencies, bone marrow health</w:t>
            </w:r>
          </w:p>
        </w:tc>
      </w:tr>
      <w:tr>
        <w:tc>
          <w:tcPr>
            <w:tcW w:type="dxa" w:w="2880"/>
          </w:tcPr>
          <w:p>
            <w:r>
              <w:t>WBC</w:t>
            </w:r>
          </w:p>
        </w:tc>
        <w:tc>
          <w:tcPr>
            <w:tcW w:type="dxa" w:w="2880"/>
          </w:tcPr>
          <w:p>
            <w:r>
              <w:t>PhenoAge component</w:t>
            </w:r>
          </w:p>
        </w:tc>
        <w:tc>
          <w:tcPr>
            <w:tcW w:type="dxa" w:w="2880"/>
          </w:tcPr>
          <w:p>
            <w:r>
              <w:t>Chronic inflammation, immune activation</w:t>
            </w:r>
          </w:p>
        </w:tc>
      </w:tr>
      <w:tr>
        <w:tc>
          <w:tcPr>
            <w:tcW w:type="dxa" w:w="2880"/>
          </w:tcPr>
          <w:p>
            <w:r>
              <w:t>Alkaline Phosphatase</w:t>
            </w:r>
          </w:p>
        </w:tc>
        <w:tc>
          <w:tcPr>
            <w:tcW w:type="dxa" w:w="2880"/>
          </w:tcPr>
          <w:p>
            <w:r>
              <w:t>PhenoAge component</w:t>
            </w:r>
          </w:p>
        </w:tc>
        <w:tc>
          <w:tcPr>
            <w:tcW w:type="dxa" w:w="2880"/>
          </w:tcPr>
          <w:p>
            <w:r>
              <w:t>Liver/bone health, vascular calcification</w:t>
            </w:r>
          </w:p>
        </w:tc>
      </w:tr>
    </w:tbl>
    <w:p>
      <w:pPr>
        <w:pStyle w:val="Heading2"/>
      </w:pPr>
      <w:r>
        <w:t>2. Pre-Symptomatic Disease Detection Engine</w:t>
      </w:r>
    </w:p>
    <w:p>
      <w:r>
        <w:t>The agent identifies disease trajectories years before clinical diagnosis by correlating biomarker patterns with genetic risk.</w:t>
      </w:r>
    </w:p>
    <w:p>
      <w:pPr>
        <w:pStyle w:val="Heading3"/>
      </w:pPr>
      <w:r>
        <w:t>Type 2 Diabetes: Detectable 5-7 Years Before Diagnosis</w:t>
      </w:r>
    </w:p>
    <w:p>
      <w:r>
        <w:t>Key diabetes susceptibility genes integrated:</w:t>
      </w:r>
    </w:p>
    <w:p>
      <w:r>
        <w:rPr>
          <w:b/>
        </w:rPr>
        <w:t>• TCF7L2 (rs7903146)</w:t>
      </w:r>
      <w:r>
        <w:t xml:space="preserve"> - Most important T2D gene, 1.4x risk per allele</w:t>
        <w:br/>
      </w:r>
      <w:r>
        <w:rPr>
          <w:b/>
        </w:rPr>
        <w:t>• PPARG (rs1801282)</w:t>
      </w:r>
      <w:r>
        <w:t xml:space="preserve"> - Protective Pro12Ala variant</w:t>
        <w:br/>
      </w:r>
      <w:r>
        <w:rPr>
          <w:b/>
        </w:rPr>
        <w:t>• SLC30A8 (rs13266634)</w:t>
      </w:r>
      <w:r>
        <w:t xml:space="preserve"> - Zinc transporter affecting insulin secretion</w:t>
        <w:br/>
      </w:r>
      <w:r>
        <w:rPr>
          <w:b/>
        </w:rPr>
        <w:t>• KCNJ11 (rs5219)</w:t>
      </w:r>
      <w:r>
        <w:t xml:space="preserve"> - ATP-sensitive potassium channel</w:t>
        <w:br/>
      </w:r>
      <w:r>
        <w:rPr>
          <w:b/>
        </w:rPr>
        <w:t>• GCKR (rs780094)</w:t>
      </w:r>
      <w:r>
        <w:t xml:space="preserve"> - Glucokinase regulatory protein</w:t>
      </w:r>
    </w:p>
    <w:p/>
    <w:p>
      <w:r>
        <w:t>Key Insight: Prediabetes is reversible. Studies show 58% risk reduction with lifestyle intervention, and reversion to normal glucose reduces future diabetes risk by 56%.</w:t>
      </w:r>
    </w:p>
    <w:p>
      <w:pPr>
        <w:pStyle w:val="Heading2"/>
      </w:pPr>
      <w:r>
        <w:t>3. Cardiovascular Risk: Beyond Cholesterol</w:t>
      </w:r>
    </w:p>
    <w:p>
      <w:r>
        <w:t>Multi-pathway cardiovascular risk assessment integrating:</w:t>
      </w:r>
    </w:p>
    <w:p>
      <w:r>
        <w:rPr>
          <w:b/>
        </w:rPr>
        <w:t xml:space="preserve">• Advanced Lipid Panel: </w:t>
      </w:r>
      <w:r>
        <w:t>ApoB, Lp(a), LDL-P (not just LDL-C)</w:t>
        <w:br/>
      </w:r>
      <w:r>
        <w:rPr>
          <w:b/>
        </w:rPr>
        <w:t xml:space="preserve">• Inflammation Pathway: </w:t>
      </w:r>
      <w:r>
        <w:t>IL-6, hs-CRP, Neutrophil-Lymphocyte Ratio</w:t>
        <w:br/>
      </w:r>
      <w:r>
        <w:rPr>
          <w:b/>
        </w:rPr>
        <w:t xml:space="preserve">• Genetic Risk: </w:t>
      </w:r>
      <w:r>
        <w:t>PCSK9, LPA gene, APOE, CRP variants</w:t>
        <w:br/>
      </w:r>
      <w:r>
        <w:rPr>
          <w:b/>
        </w:rPr>
        <w:t xml:space="preserve">• Vascular Aging: </w:t>
      </w:r>
      <w:r>
        <w:t>GDF-15, Cystatin C</w:t>
      </w:r>
    </w:p>
    <w:p/>
    <w:p>
      <w:r>
        <w:rPr>
          <w:b/>
        </w:rPr>
        <w:t xml:space="preserve">Key Insight: </w:t>
      </w:r>
      <w:r>
        <w:t>Lp(a) is 90% genetically determined, stable from childhood. Elevated Lp(a) (&gt;50 nmol/L) is a major CV risk factor that requires aggressive LDL-C lowering to offset.</w:t>
      </w:r>
    </w:p>
    <w:p>
      <w:pPr>
        <w:pStyle w:val="Heading2"/>
      </w:pPr>
      <w:r>
        <w:t>4. Liver Health Genetics: Silent Disease Detection</w:t>
      </w:r>
    </w:p>
    <w:p>
      <w:r>
        <w:t>NAFLD/NASH susceptibility genes:</w:t>
      </w:r>
    </w:p>
    <w:p>
      <w:r>
        <w:rPr>
          <w:b/>
        </w:rPr>
        <w:t>• PNPLA3 (rs738409)</w:t>
      </w:r>
      <w:r>
        <w:t xml:space="preserve"> - Major NAFLD risk gene, 2-3x risk per G allele</w:t>
        <w:br/>
      </w:r>
      <w:r>
        <w:rPr>
          <w:b/>
        </w:rPr>
        <w:t>• TM6SF2 (rs58542926)</w:t>
      </w:r>
      <w:r>
        <w:t xml:space="preserve"> - Increases liver fat but REDUCES cardiovascular risk</w:t>
        <w:br/>
      </w:r>
      <w:r>
        <w:rPr>
          <w:b/>
        </w:rPr>
        <w:t>• HSD17B13 (rs72613567)</w:t>
      </w:r>
      <w:r>
        <w:t xml:space="preserve"> - PROTECTIVE loss-of-function variant</w:t>
      </w:r>
    </w:p>
    <w:p/>
    <w:p>
      <w:r>
        <w:t>Key Insight: "Normal" ALT may still indicate liver disease in genetically susceptible individuals. Genotype-adjusted thresholds provide more accurate assessment.</w:t>
      </w:r>
    </w:p>
    <w:p>
      <w:pPr>
        <w:pStyle w:val="Heading2"/>
      </w:pPr>
      <w:r>
        <w:t>5. Thyroid Optimization with DIO1/DIO2 Genetics</w:t>
      </w:r>
    </w:p>
    <w:p>
      <w:r>
        <w:t>~20% of patients don't feel well on T4 monotherapy due to impaired T4→T3 conversion. Genetics can explain this.</w:t>
      </w:r>
    </w:p>
    <w:p>
      <w:r>
        <w:rPr>
          <w:b/>
        </w:rPr>
        <w:t xml:space="preserve">DIO2 Thr92Ala (rs225014): </w:t>
      </w:r>
      <w:r>
        <w:t>Present in ~16% homozygous, ~50% heterozygous. Carriers may have lower tissue T3 despite "normal" serum levels and may benefit from combination T4/T3 therapy.</w:t>
      </w:r>
    </w:p>
    <w:p>
      <w:pPr>
        <w:pStyle w:val="Heading2"/>
      </w:pPr>
      <w:r>
        <w:t>6. Iron Status and HFE Hemochromatosis</w:t>
      </w:r>
    </w:p>
    <w:p>
      <w:r>
        <w:t>Hereditary hemochromatosis affects 1 in 200-300 people of Northern European descent but often goes undiagnosed until organ damage occurs.</w:t>
      </w:r>
    </w:p>
    <w:p>
      <w:r>
        <w:rPr>
          <w:b/>
        </w:rPr>
        <w:t xml:space="preserve">HFE C282Y homozygotes: </w:t>
      </w:r>
      <w:r>
        <w:t>Require monitoring even with normal ferritin. Cirrhosis risk is high if ferritin exceeds 1000 µg/L. Early detection enables therapeutic phlebotomy before organ damage.</w:t>
      </w:r>
    </w:p>
    <w:p>
      <w:pPr>
        <w:pStyle w:val="Heading2"/>
      </w:pPr>
      <w:r>
        <w:t>7. Personalized Nutrition: FADS Gene-Diet Interactions</w:t>
      </w:r>
    </w:p>
    <w:p>
      <w:r>
        <w:t>FADS1/FADS2 genetic variants affect fatty acid metabolism, meaning optimal omega-3 intake varies by genotype.</w:t>
      </w:r>
    </w:p>
    <w:p>
      <w:r>
        <w:rPr>
          <w:b/>
        </w:rPr>
        <w:t xml:space="preserve">Conversion-Limited Phenotype: </w:t>
      </w:r>
      <w:r>
        <w:t>Individuals with low FADS activity cannot efficiently convert plant omega-3s (ALA) to EPA/DHA. They need direct fish/fish oil sources and may show greater benefit from supplementation.</w:t>
      </w:r>
    </w:p>
    <w:p>
      <w:pPr>
        <w:pStyle w:val="Heading1"/>
      </w:pPr>
      <w:r>
        <w:t>Part II: Key Features Summary</w:t>
      </w:r>
    </w:p>
    <w:p>
      <w:r>
        <w:rPr>
          <w:b/>
        </w:rPr>
        <w:t xml:space="preserve">Biological Age Calculation: </w:t>
      </w:r>
      <w:r>
        <w:t>Correlates blood biomarkers with PhenoAge/GrimAge epigenetic clocks to estimate biological vs chronological age</w:t>
      </w:r>
    </w:p>
    <w:p>
      <w:r>
        <w:rPr>
          <w:b/>
        </w:rPr>
        <w:t xml:space="preserve">Pre-Symptomatic Disease Detection: </w:t>
      </w:r>
      <w:r>
        <w:t>Identifies diabetes, cardiovascular disease, and liver disease trajectories 5-10 years before diagnosis</w:t>
      </w:r>
    </w:p>
    <w:p>
      <w:r>
        <w:rPr>
          <w:b/>
        </w:rPr>
        <w:t xml:space="preserve">Genotype-Adjusted Reference Ranges: </w:t>
      </w:r>
      <w:r>
        <w:t>Personalizes "optimal" biomarker thresholds based on individual genetic variants</w:t>
      </w:r>
    </w:p>
    <w:p>
      <w:r>
        <w:rPr>
          <w:b/>
        </w:rPr>
        <w:t xml:space="preserve">Inflammatory Phenotyping: </w:t>
      </w:r>
      <w:r>
        <w:t>Determines inflammation source (hepatic vs immune) using hs-CRP and NLR for targeted intervention</w:t>
      </w:r>
    </w:p>
    <w:p>
      <w:r>
        <w:rPr>
          <w:b/>
        </w:rPr>
        <w:t xml:space="preserve">Pharmacogenomic Alerts: </w:t>
      </w:r>
      <w:r>
        <w:t>Identifies drug-gene interactions (MTHFR/methotrexate, SLCO1B1/statins, etc.)</w:t>
      </w:r>
    </w:p>
    <w:p>
      <w:r>
        <w:rPr>
          <w:b/>
        </w:rPr>
        <w:t xml:space="preserve">Nutrigenomics: </w:t>
      </w:r>
      <w:r>
        <w:t>Personalizes omega-3 and other nutrient recommendations based on FADS and other gene variants</w:t>
      </w:r>
    </w:p>
    <w:p>
      <w:r>
        <w:rPr>
          <w:b/>
        </w:rPr>
        <w:t xml:space="preserve">Longitudinal Trajectory Modeling: </w:t>
      </w:r>
      <w:r>
        <w:t>Tracks biomarker changes over time to predict disease progression</w:t>
      </w:r>
    </w:p>
    <w:p>
      <w:pPr>
        <w:pStyle w:val="Heading1"/>
      </w:pPr>
      <w:r>
        <w:t>Why This Matters</w:t>
      </w:r>
    </w:p>
    <w:p>
      <w:r>
        <w:t>This AI Agent transforms Function Health's comprehensive biomarker panel into something unprecedented: personalized health intelligence that would normally require consultation with multiple specialists.</w:t>
        <w:br/>
        <w:br/>
        <w:t>For a typical user, this means:</w:t>
        <w:br/>
        <w:br/>
        <w:t>1. Understanding WHY their biomarkers look the way they do (genetic basis)</w:t>
        <w:br/>
        <w:t>2. Knowing their TRUE biological age and what's driving aging</w:t>
        <w:br/>
        <w:t>3. Catching disease trajectories years before symptoms appear</w:t>
        <w:br/>
        <w:t>4. Getting personalized drug recommendations based on their genetics</w:t>
        <w:br/>
        <w:t>5. Receiving targeted nutrition guidance based on their metabolic genetics</w:t>
        <w:br/>
        <w:t>6. Having a monitoring schedule customized to their genetic risk profile</w:t>
        <w:br/>
        <w:br/>
        <w:t>This is the future of preventive medicine - moving from reactive sick-care to proactive health optimization.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HCLS AI Factory - Function Health Biomarker-Genomic Correlation Agent v2.0</w:t>
        <w:br/>
      </w:r>
      <w:r>
        <w:rPr>
          <w:i/>
        </w:rPr>
        <w:t>Precision Medicine Through Integrated Analysis</w:t>
        <w:br/>
      </w:r>
      <w:r>
        <w:rPr>
          <w:i/>
        </w:rPr>
        <w:t>Apache 2.0 Licensed | Open 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