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NASA CRM Fuselage Vibroacoustics Project</w:t>
      </w:r>
    </w:p>
    <w:p>
      <w:pPr>
        <w:pStyle w:val="Subtitle"/>
      </w:pPr>
      <w:r>
        <w:t>A practical next step after the Wave6 tutorials</w:t>
      </w:r>
    </w:p>
    <w:p>
      <w:r>
        <w:t>I’d like to use the NASA Common Research Model as the starting point for a small vehicle trade study. The idea is to build a simplified fuselage, excite it with turbulent boundary layer pressure, and see how the vibration and interior acoustic environment change when we change the aluminum or skin thickness.</w:t>
      </w:r>
    </w:p>
    <w:p>
      <w:r>
        <w:t>This is the kind of question that comes up early in a program: if we change material or manufacturing approach to save mass or cost, what happens to the dynamic environment? The goal is to learn how to set up that comparison and explain the physics behind the results.</w:t>
      </w:r>
    </w:p>
    <w:p>
      <w:pPr>
        <w:jc w:val="center"/>
      </w:pPr>
      <w:r>
        <w:drawing>
          <wp:inline xmlns:a="http://schemas.openxmlformats.org/drawingml/2006/main" xmlns:pic="http://schemas.openxmlformats.org/drawingml/2006/picture">
            <wp:extent cx="2651760" cy="1731010"/>
            <wp:docPr id="1" name="Picture 1" descr="NASA Common Research Model aircraft configuration rendering"/>
            <wp:cNvGraphicFramePr>
              <a:graphicFrameLocks noChangeAspect="1"/>
            </wp:cNvGraphicFramePr>
            <a:graphic>
              <a:graphicData uri="http://schemas.openxmlformats.org/drawingml/2006/picture">
                <pic:pic>
                  <pic:nvPicPr>
                    <pic:cNvPr id="0" name="CRM_configuration.png"/>
                    <pic:cNvPicPr/>
                  </pic:nvPicPr>
                  <pic:blipFill>
                    <a:blip r:embed="rId10"/>
                    <a:stretch>
                      <a:fillRect/>
                    </a:stretch>
                  </pic:blipFill>
                  <pic:spPr>
                    <a:xfrm>
                      <a:off x="0" y="0"/>
                      <a:ext cx="2651760" cy="1731010"/>
                    </a:xfrm>
                    <a:prstGeom prst="rect"/>
                  </pic:spPr>
                </pic:pic>
              </a:graphicData>
            </a:graphic>
          </wp:inline>
        </w:drawing>
      </w:r>
      <w:r>
        <w:t xml:space="preserve">  </w:t>
      </w:r>
      <w:r>
        <w:drawing>
          <wp:inline xmlns:a="http://schemas.openxmlformats.org/drawingml/2006/main" xmlns:pic="http://schemas.openxmlformats.org/drawingml/2006/picture">
            <wp:extent cx="2651760" cy="1767840"/>
            <wp:docPr id="2" name="Picture 2" descr="NASA Common Research Model installed in the National Transonic Facility"/>
            <wp:cNvGraphicFramePr>
              <a:graphicFrameLocks noChangeAspect="1"/>
            </wp:cNvGraphicFramePr>
            <a:graphic>
              <a:graphicData uri="http://schemas.openxmlformats.org/drawingml/2006/picture">
                <pic:pic>
                  <pic:nvPicPr>
                    <pic:cNvPr id="0" name="CRM_inNTF.png"/>
                    <pic:cNvPicPr/>
                  </pic:nvPicPr>
                  <pic:blipFill>
                    <a:blip r:embed="rId11"/>
                    <a:stretch>
                      <a:fillRect/>
                    </a:stretch>
                  </pic:blipFill>
                  <pic:spPr>
                    <a:xfrm>
                      <a:off x="0" y="0"/>
                      <a:ext cx="2651760" cy="1767840"/>
                    </a:xfrm>
                    <a:prstGeom prst="rect"/>
                  </pic:spPr>
                </pic:pic>
              </a:graphicData>
            </a:graphic>
          </wp:inline>
        </w:drawing>
      </w:r>
      <w:r>
        <w:t xml:space="preserve">  </w:t>
      </w:r>
    </w:p>
    <w:p>
      <w:pPr>
        <w:spacing w:after="200"/>
      </w:pPr>
      <w:r>
        <w:rPr>
          <w:i/>
          <w:sz w:val="18"/>
        </w:rPr>
        <w:t>NASA CRM configuration and wind tunnel model. Images: NASA, CRM geometry and model description pages. These illustrate the exterior shape, not the internal structure we will create.</w:t>
      </w:r>
    </w:p>
    <w:p>
      <w:pPr>
        <w:pStyle w:val="Heading2"/>
      </w:pPr>
      <w:r>
        <w:t>How I suggest we approach it</w:t>
      </w:r>
    </w:p>
    <w:p>
      <w:r>
        <w:t>We’ll break the work into three phases, with a short review at the end of each. Start simple, get a baseline we trust, and then add the details that help answer the trade question.</w:t>
      </w:r>
    </w:p>
    <w:p>
      <w:pPr>
        <w:pStyle w:val="ListBullet"/>
      </w:pPr>
      <w:r>
        <w:t>Phase 1 — Build the fuselage model and understand its basic structural and acoustic behavior.</w:t>
      </w:r>
    </w:p>
    <w:p>
      <w:pPr>
        <w:pStyle w:val="ListBullet"/>
      </w:pPr>
      <w:r>
        <w:t>Phase 2 — Define the TBL excitation, the parameters we need, and the responses we will compare.</w:t>
      </w:r>
    </w:p>
    <w:p>
      <w:pPr>
        <w:pStyle w:val="ListBullet"/>
      </w:pPr>
      <w:r>
        <w:t>Phase 3 — Compare aluminum choices and skin thicknesses, then explain what matters and why.</w:t>
      </w:r>
    </w:p>
    <w:p>
      <w:r>
        <w:t>NASA provides public geometry in STEP and IGES formats. We’ll use the full-scale geometry as a reference and create our own generic skin, frames, and stringers. The resulting model will be a training vehicle, not a reconstruction of the CRM wind tunnel hardware or an actual transport aircraft structure.</w:t>
      </w:r>
    </w:p>
    <w:p>
      <w:pPr>
        <w:spacing w:after="80"/>
      </w:pPr>
      <w:hyperlink r:id="rId12">
        <w:r>
          <w:rPr>
            <w:color w:val="245A81"/>
            <w:sz w:val="18"/>
          </w:rPr>
          <w:t>NASA CRM geometry and public CAD downloads</w:t>
        </w:r>
      </w:hyperlink>
    </w:p>
    <w:p>
      <w:pPr>
        <w:spacing w:after="80"/>
      </w:pPr>
      <w:hyperlink r:id="rId13">
        <w:r>
          <w:rPr>
            <w:color w:val="245A81"/>
            <w:sz w:val="18"/>
          </w:rPr>
          <w:t>NASA CRM model description and wind tunnel photograph</w:t>
        </w:r>
      </w:hyperlink>
    </w:p>
    <w:p>
      <w:pPr>
        <w:spacing w:after="80"/>
      </w:pPr>
      <w:hyperlink r:id="rId14">
        <w:r>
          <w:rPr>
            <w:color w:val="245A81"/>
            <w:sz w:val="18"/>
          </w:rPr>
          <w:t>NASA CRM geometry page and configuration image</w:t>
        </w:r>
      </w:hyperlink>
    </w:p>
    <w:p>
      <w:pPr>
        <w:pStyle w:val="Heading2"/>
      </w:pPr>
      <w:r>
        <w:t>Working units</w:t>
      </w:r>
    </w:p>
    <w:p>
      <w:r>
        <w:t>Use inches, lbf, seconds, and psi for the analysis; report mass in lbm, acceleration in g, and spectra in g²/Hz or psi²/Hz. Report air speeds in ft/s if convenient, then convert to in/s for an inch-based solver. Use °F for stated temperatures and °R when an equation requires absolute temperature. Dimensions below are rounded conversions of the proposed training geometry.</w:t>
      </w:r>
    </w:p>
    <w:p>
      <w:r>
        <w:t>Check how the software handles mass units. A coherent in–lbf–s model uses mass in lbf·s²/in and density in lbf·s²/in⁴. Convert density from lbm/in³ by dividing its numerical value by 386.089. Do this only when the solver requires coherent inputs; do not convert twice in a unit-aware interface. Standard gravity is 386.089 in/s².</w:t>
      </w:r>
    </w:p>
    <w:p>
      <w:r>
        <w:br w:type="page"/>
      </w:r>
    </w:p>
    <w:p>
      <w:pPr>
        <w:pStyle w:val="Heading1"/>
      </w:pPr>
      <w:r>
        <w:t>Phase 1  Build the fuselage model</w:t>
      </w:r>
    </w:p>
    <w:p>
      <w:r>
        <w:t>Use one cross-section from a nearly constant-section region of the CRM fuselage and extrude it into a short barrel. Keep the original cross-section size and curvature. This is a CRM-inspired training barrel, not an exact segment of the vehicle; it avoids having to design changing frames along a tapered fuselage.</w:t>
      </w:r>
    </w:p>
    <w:p>
      <w:pPr>
        <w:pStyle w:val="Heading2"/>
      </w:pPr>
      <w:r>
        <w:t>Get a manageable baseline together</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shd w:fill="E5EC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sz w:val="19"/>
              </w:rPr>
              <w:t>Item</w:t>
            </w:r>
          </w:p>
        </w:tc>
        <w:tc>
          <w:tcPr>
            <w:tcW w:type="dxa" w:w="8424"/>
            <w:vAlign w:val="center"/>
            <w:shd w:fill="E5EC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sz w:val="19"/>
              </w:rPr>
              <w:t>Prescribed training geometry</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Barrel</w:t>
            </w:r>
          </w:p>
        </w:tc>
        <w:tc>
          <w:tcPr>
            <w:tcW w:type="dxa" w:w="84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118.11 in long; use a full-scale CRM cross-section. Confirm imported CAD units before creating the barrel.</w:t>
            </w:r>
          </w:p>
        </w:tc>
      </w:tr>
      <w:tr>
        <w:trPr>
          <w:cantSplit/>
        </w:trPr>
        <w:tc>
          <w:tcPr>
            <w:tcW w:type="dxa" w:w="1800"/>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Skin</w:t>
            </w:r>
          </w:p>
        </w:tc>
        <w:tc>
          <w:tcPr>
            <w:tcW w:type="dxa" w:w="8424"/>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0.07874 in shell thickness; baseline material candidate 2024-T3.</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Frames</w:t>
            </w:r>
          </w:p>
        </w:tc>
        <w:tc>
          <w:tcPr>
            <w:tcW w:type="dxa" w:w="84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Seven rings at 19.685 in spacing, including both ends. Rectangular blade section: 3.150 in radial depth × 0.1181 in axial thickness.</w:t>
            </w:r>
          </w:p>
        </w:tc>
      </w:tr>
      <w:tr>
        <w:trPr>
          <w:cantSplit/>
        </w:trPr>
        <w:tc>
          <w:tcPr>
            <w:tcW w:type="dxa" w:w="1800"/>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Optional stringers</w:t>
            </w:r>
          </w:p>
        </w:tc>
        <w:tc>
          <w:tcPr>
            <w:tcW w:type="dxa" w:w="8424"/>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Rectangular blade section: 0.9843 in radial depth × 0.07874 in circumferential thickness. Approximately 9.843 in perimeter spacing, adjusted to an integer number.</w:t>
            </w:r>
          </w:p>
        </w:tc>
      </w:tr>
    </w:tbl>
    <w:p/>
    <w:p>
      <w:r>
        <w:t>Use shells for the skin and beams for the stiffeners if supported by the selected Wave6 workflow. Create one frame path and repeat it axially; create one stringer path and repeat it around the perimeter. Assign section properties and connect to the skin using shared nodes or supported coupling. Check local beam axes, eccentricity, and shell offsets. Detailed solid CAD, fasteners, and clips are unnecessary for this exercise.</w:t>
      </w:r>
    </w:p>
    <w:p>
      <w:r>
        <w:t>Build the bare shell first, then add rings. The ring-stiffened model is sufficient to proceed; stringers are optional once the baseline works. Keep the outer mold line consistent when changing thickness and keep stiffener materials fixed during the initial skin-alloy comparisons. These dimensions are training assumptions, not NASA construction data.</w:t>
      </w:r>
    </w:p>
    <w:p>
      <w:pPr>
        <w:pStyle w:val="Heading2"/>
      </w:pPr>
      <w:r>
        <w:t>Understand the model before loading it</w:t>
      </w:r>
    </w:p>
    <w:p>
      <w:r>
        <w:t>Agree the end restraints and cavity closures with the mentor before solving; distinguish structural end plates from acoustic-only closures. Add an enclosed air cavity and check structural and uncoupled acoustic modes before coupling them. Leave trim, seats, and equipment out. Start with zero static pressure differential, noting that pressurization stiffening is omitted.</w:t>
      </w:r>
    </w:p>
    <w:p>
      <w:r>
        <w:t>Check mass against a hand estimate and compare at least two mesh densities. Refine important modes and response bands until numerical changes are small enough to resolve the material trade. Start around 100–500 Hz. Check one alternative end-restraint condition and report responses mainly in the central bays; end effects are reduced there, not eliminated.</w:t>
      </w:r>
    </w:p>
    <w:p>
      <w:pPr>
        <w:pStyle w:val="Heading2"/>
      </w:pPr>
      <w:r>
        <w:t>What to bring to our review</w:t>
      </w:r>
    </w:p>
    <w:p>
      <w:r>
        <w:t>A dimensioned model picture, assumptions, total mass in lbm, representative mode shapes, and a usable frequency range. Explain the supports, connectivity, and mesh. We’ll agree the baseline before building the load cases.</w:t>
      </w:r>
    </w:p>
    <w:p>
      <w:r>
        <w:br w:type="page"/>
      </w:r>
    </w:p>
    <w:p>
      <w:pPr>
        <w:pStyle w:val="Heading1"/>
      </w:pPr>
      <w:r>
        <w:t>Phase 2  Define TBL excitation and parameters</w:t>
      </w:r>
    </w:p>
    <w:p>
      <w:r>
        <w:t>The load will represent fluctuating wall pressure from a turbulent boundary layer flowing over the fuselage. This is a convecting pressure field: the pressure spectrum at one point and its spatial relationship to neighboring points both influence which structural modes get excited.</w:t>
      </w:r>
    </w:p>
    <w:p>
      <w:pPr>
        <w:pStyle w:val="Heading2"/>
      </w:pPr>
      <w:r>
        <w:t>Choose a simple and documented loading model</w:t>
      </w:r>
    </w:p>
    <w:p>
      <w:r>
        <w:t>Use an attached-flow, approximately zero-pressure-gradient case on a mid-fuselage region first. A Goody wall-pressure autospectrum with a Corcos spatial cross-spectrum is a useful candidate; confirm the available implementation in our Wave6 version and document its conventions. Do not assume this simple case represents the CRM’s transonic design condition, shock regions, or separated flow.</w:t>
      </w:r>
    </w:p>
    <w:p>
      <w:r>
        <w:t>We do not need a new CFD effort to get started. Select one internally consistent training flow condition from a reference or a documented boundary-layer estimate. Define the local flow direction on the curved surface, start with uniform properties over the selected patch, and keep the same loading for all structural comparisons.</w:t>
      </w:r>
    </w:p>
    <w:tbl>
      <w:tblPr>
        <w:tblW w:type="auto" w:w="0"/>
        <w:jc w:val="center"/>
        <w:tblLayout w:type="fixed"/>
        <w:tblLook w:firstColumn="1" w:firstRow="1" w:lastColumn="0" w:lastRow="0" w:noHBand="0" w:noVBand="1" w:val="04A0"/>
      </w:tblPr>
      <w:tblGrid>
        <w:gridCol w:w="2045"/>
        <w:gridCol w:w="8179"/>
      </w:tblGrid>
      <w:tr>
        <w:trPr>
          <w:cantSplit/>
          <w:tblHeader/>
        </w:trPr>
        <w:tc>
          <w:tcPr>
            <w:tcW w:type="dxa" w:w="2045"/>
            <w:vAlign w:val="center"/>
            <w:shd w:fill="E5EC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sz w:val="19"/>
              </w:rPr>
              <w:t>Parameter group</w:t>
            </w:r>
          </w:p>
        </w:tc>
        <w:tc>
          <w:tcPr>
            <w:tcW w:type="dxa" w:w="8179"/>
            <w:vAlign w:val="center"/>
            <w:shd w:fill="E5EC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sz w:val="19"/>
              </w:rPr>
              <w:t>What we need to define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Flow condition</w:t>
            </w:r>
          </w:p>
        </w:tc>
        <w:tc>
          <w:tcPr>
            <w:tcW w:type="dxa" w:w="817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Local edge velocity in ft/s, Mach number, temperature in °F, mass density with units, and kinematic viscosity in in²/s. Convert velocity to in/s for coherent calculations; use °R for absolute temperature.</w:t>
            </w:r>
          </w:p>
        </w:tc>
      </w:tr>
      <w:tr>
        <w:trPr>
          <w:cantSplit/>
        </w:trPr>
        <w:tc>
          <w:tcPr>
            <w:tcW w:type="dxa" w:w="2045"/>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Boundary layer</w:t>
            </w:r>
          </w:p>
        </w:tc>
        <w:tc>
          <w:tcPr>
            <w:tcW w:type="dxa" w:w="8179"/>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Thickness in inches and wall shear stress in psi or friction velocity in ft/s; any additional thickness measures required by the spectrum. Record source and assumptions.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Spatial pressure field</w:t>
            </w:r>
          </w:p>
        </w:tc>
        <w:tc>
          <w:tcPr>
            <w:tcW w:type="dxa" w:w="817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Convection velocity, streamwise and cross-stream coherence decay coefficients, local surface directions, and the loaded region. Record coherence amplitude versus magnitude-squared conventions.</w:t>
            </w:r>
          </w:p>
        </w:tc>
      </w:tr>
      <w:tr>
        <w:trPr>
          <w:cantSplit/>
        </w:trPr>
        <w:tc>
          <w:tcPr>
            <w:tcW w:type="dxa" w:w="2045"/>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Frequency and units</w:t>
            </w:r>
          </w:p>
        </w:tc>
        <w:tc>
          <w:tcPr>
            <w:tcW w:type="dxa" w:w="8179"/>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One-sided wall-pressure PSD in psi²/Hz and frequency in Hz. Square the pressure conversion factor when converting a PSD. Check rad/s and one-sided versus two-sided conventions.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Structural response</w:t>
            </w:r>
          </w:p>
        </w:tc>
        <w:tc>
          <w:tcPr>
            <w:tcW w:type="dxa" w:w="817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Thickness in inches, alloy and temper, mass density, modulus in psi, supports, and damping. Distinguish structural loss factor from modal damping ratio; follow the mass convention on page 1.</w:t>
            </w:r>
          </w:p>
        </w:tc>
      </w:tr>
      <w:tr>
        <w:trPr>
          <w:cantSplit/>
        </w:trPr>
        <w:tc>
          <w:tcPr>
            <w:tcW w:type="dxa" w:w="2045"/>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Acoustic response</w:t>
            </w:r>
          </w:p>
        </w:tc>
        <w:tc>
          <w:tcPr>
            <w:tcW w:type="dxa" w:w="8179"/>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Interior air properties, cavity damping, coupling assumptions, and whether exterior radiation loading is retained or neglected.</w:t>
            </w:r>
          </w:p>
        </w:tc>
      </w:tr>
    </w:tbl>
    <w:p/>
    <w:p>
      <w:pPr>
        <w:pStyle w:val="Heading2"/>
      </w:pPr>
      <w:r>
        <w:t>Check the load before interpreting the response</w:t>
      </w:r>
    </w:p>
    <w:p>
      <w:r>
        <w:t>Apply wall pressure to the exterior structural surface, not directly to the cavity. Check the point PSD, its integrated RMS, and the magnitude and phase of cross spectra between a few surface points. Uniform in-phase pressure and independent random nodal loads are not equivalent TBL models. Verify spatial load integration against the short convective wavelengths and coherence lengths, as well as the structural mesh.</w:t>
      </w:r>
    </w:p>
    <w:p>
      <w:r>
        <w:t>Track acceleration PSD in g²/Hz at panel centers and frames, plus interior SPL at fixed probes and a cavity average. Use an SPL reference of 2.90075 × 10⁻⁹ psi RMS. Integrate consistent one-third-octave bands and average mean-square quantities before converting to dB. Double pressure RMS as a linearity check; response PSD should quadruple. Vary convection/coherence assumptions briefly, then freeze the baseline.</w:t>
      </w:r>
    </w:p>
    <w:p>
      <w:r>
        <w:t>Bring the parameter sheet, load plots, and first response spectra to the review. The main question is whether we understand what is exciting the structure and whether the input uncertainty could mask the alloy differences.</w:t>
      </w:r>
    </w:p>
    <w:p>
      <w:pPr>
        <w:spacing w:after="80"/>
      </w:pPr>
      <w:hyperlink r:id="rId15">
        <w:r>
          <w:rPr>
            <w:color w:val="245A81"/>
            <w:sz w:val="18"/>
          </w:rPr>
          <w:t>Goody 2004 — Empirical Spectral Model of Surface Pressure Fluctuations</w:t>
        </w:r>
      </w:hyperlink>
    </w:p>
    <w:p>
      <w:pPr>
        <w:spacing w:after="80"/>
      </w:pPr>
      <w:hyperlink r:id="rId16">
        <w:r>
          <w:rPr>
            <w:color w:val="245A81"/>
            <w:sz w:val="18"/>
          </w:rPr>
          <w:t>NASA — The Influence of Boundary Layer Parameters on Interior Noise</w:t>
        </w:r>
      </w:hyperlink>
    </w:p>
    <w:p>
      <w:r>
        <w:br w:type="page"/>
      </w:r>
    </w:p>
    <w:p>
      <w:pPr>
        <w:pStyle w:val="Heading1"/>
      </w:pPr>
      <w:r>
        <w:t>Phase 3  Compare aluminum choices</w:t>
      </w:r>
    </w:p>
    <w:p>
      <w:r>
        <w:t>Now use the same model and TBL input to compare a few aluminum options. Suggested starting candidates are 2024-T3, 6061-T6, and 7075-T6. Confirm the exact temper, product form, thickness range, and property source before running; these are comparison candidates, not a claim that all three are equally suitable fuselage skins.</w:t>
      </w:r>
    </w:p>
    <w:p>
      <w:pPr>
        <w:pStyle w:val="Heading2"/>
      </w:pPr>
      <w:r>
        <w:t>First separate alloy effects from geometry effects</w:t>
      </w:r>
    </w:p>
    <w:p>
      <w:r>
        <w:t>At fixed geometry, aluminum alloys have relatively similar elastic modulus and density. Their strength and manufacturing differences can be much larger. A higher yield strength does not, by itself, make a linear elastic vibration model stiffer. We may find that changing skin thickness has a larger effect than simply changing the alloy, although small frequency shifts can still matter near resonances.</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E5EC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sz w:val="19"/>
              </w:rPr>
              <w:t>Comparison</w:t>
            </w:r>
          </w:p>
        </w:tc>
        <w:tc>
          <w:tcPr>
            <w:tcW w:type="dxa" w:w="8136"/>
            <w:vAlign w:val="center"/>
            <w:shd w:fill="E5ECF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sz w:val="19"/>
              </w:rPr>
              <w:t>Suggested runs and purpose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Same thickness</w:t>
            </w:r>
          </w:p>
        </w:tc>
        <w:tc>
          <w:tcPr>
            <w:tcW w:type="dxa" w:w="81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Run all three skin alloys at 0.07874 in. Change sourced elastic properties and density; keep frames, stringers, joints, supports, and damping unchanged.</w:t>
            </w:r>
          </w:p>
        </w:tc>
      </w:tr>
      <w:tr>
        <w:trPr>
          <w:cantSplit/>
        </w:trPr>
        <w:tc>
          <w:tcPr>
            <w:tcW w:type="dxa" w:w="2088"/>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Thickness sensitivity</w:t>
            </w:r>
          </w:p>
        </w:tc>
        <w:tc>
          <w:tcPr>
            <w:tcW w:type="dxa" w:w="8136"/>
            <w:vAlign w:val="center"/>
            <w:shd w:fill="F6F7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For each alloy, also run 0.05906 and 0.09843 in skin. This gives nine primary cases and shows the combined mass and stiffness effect of thickness.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Damping uncertainty</w:t>
            </w:r>
          </w:p>
        </w:tc>
        <w:tc>
          <w:tcPr>
            <w:tcW w:type="dxa" w:w="81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sz w:val="19"/>
              </w:rPr>
              <w:t>Repeat the baseline at half and twice its chosen structural loss factor. If the alloy differences are small, check whether the candidate ranking survives this uncertainty.</w:t>
            </w:r>
          </w:p>
        </w:tc>
      </w:tr>
    </w:tbl>
    <w:p/>
    <w:p>
      <w:r>
        <w:t>Use a common damping assumption for the initial alloy comparison; do not assign an alloy a damping advantage without supporting data. Maintain the same physical response locations, frequency integration, and load field. Check frequency resolution carefully when comparing narrow peaks, and compare corresponding mode shapes rather than mode numbers alone.</w:t>
      </w:r>
    </w:p>
    <w:p>
      <w:pPr>
        <w:pStyle w:val="Heading2"/>
      </w:pPr>
      <w:r>
        <w:t>What we want to learn</w:t>
      </w:r>
    </w:p>
    <w:p>
      <w:pPr>
        <w:pStyle w:val="ListBullet"/>
      </w:pPr>
      <w:r>
        <w:t>How much do mass, important modal frequencies, skin acceleration, and interior SPL change? Show both narrowband behavior and band-integrated comparisons so a shifted peak is not mistaken for a broad improvement.</w:t>
      </w:r>
    </w:p>
    <w:p>
      <w:pPr>
        <w:pStyle w:val="ListBullet"/>
      </w:pPr>
      <w:r>
        <w:t>Are the differences larger than mesh, frequency-resolution, damping, and load uncertainty? If the results are effectively the same, that is a useful outcome.</w:t>
      </w:r>
    </w:p>
    <w:p>
      <w:pPr>
        <w:pStyle w:val="ListBullet"/>
      </w:pPr>
      <w:r>
        <w:t>What could make an alloy attractive for manufacturing or cost, and would the resulting thickness or joint design change the dynamic environment? Treat cost as a separate input, not a conclusion from density alone.</w:t>
      </w:r>
    </w:p>
    <w:p>
      <w:r>
        <w:t>The thinner-skin cases are sensitivity studies. A strength-driven redesign would also need pressure, buckling, fatigue, damage tolerance, corrosion, joining, and minimum-gauge checks. Do not infer that a stronger alloy permits a proportional thickness reduction.</w:t>
      </w:r>
    </w:p>
    <w:p>
      <w:pPr>
        <w:pStyle w:val="Heading2"/>
      </w:pPr>
      <w:r>
        <w:t>How to wrap it up</w:t>
      </w:r>
    </w:p>
    <w:p>
      <w:r>
        <w:t>Bring a few clear plots and a short writeup: the model and assumptions, the TBL inputs, the case comparison, and your interpretation. Include one mass-versus-response plot and a recommendation on what to investigate next. Keep the model files and case table organized so someone else can repeat a baseline and a trade case.</w:t>
      </w:r>
    </w:p>
    <w:p>
      <w:r>
        <w:t>What I’m looking for is your engineering explanation: which changes matter, what physical mechanism drives them, and how confident we should be in the comparison. Absolute flight noise levels are outside this first training exercise.</w:t>
      </w:r>
    </w:p>
    <w:p>
      <w:pPr>
        <w:spacing w:after="80"/>
      </w:pPr>
      <w:hyperlink r:id="rId17">
        <w:r>
          <w:rPr>
            <w:color w:val="245A81"/>
            <w:sz w:val="18"/>
          </w:rPr>
          <w:t>Material starting references — Kaiser Aluminum product data for 2024, 6061, and 7075</w:t>
        </w:r>
      </w:hyperlink>
    </w:p>
    <w:p>
      <w:r>
        <w:rPr>
          <w:sz w:val="18"/>
        </w:rPr>
        <w:t>Use the sheet/plate data appropriate to the selected product and temper; supplier typical data are not design allowables. Proposed dimensions, case choices, and workflow are training assumptions.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Vibroacoustics training assignment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ommonresearchmodel.larc.nasa.gov/geometry/original-cad-files/" TargetMode="External"/><Relationship Id="rId13" Type="http://schemas.openxmlformats.org/officeDocument/2006/relationships/hyperlink" Target="https://commonresearchmodel.larc.nasa.gov/home-2/high-speed-crm/experimental-approach/model-description/" TargetMode="External"/><Relationship Id="rId14" Type="http://schemas.openxmlformats.org/officeDocument/2006/relationships/hyperlink" Target="https://www.nasa.gov/common_research_model/high-speed-crm/geometry/" TargetMode="External"/><Relationship Id="rId15" Type="http://schemas.openxmlformats.org/officeDocument/2006/relationships/hyperlink" Target="https://doi.org/10.2514/1.9433" TargetMode="External"/><Relationship Id="rId16" Type="http://schemas.openxmlformats.org/officeDocument/2006/relationships/hyperlink" Target="https://ntrs.nasa.gov/citations/20120010352" TargetMode="External"/><Relationship Id="rId17" Type="http://schemas.openxmlformats.org/officeDocument/2006/relationships/hyperlink" Target="https://www.kaiseraluminum.com/customers/product-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CRM Fuselage Vibroacoustics Project</dc:title>
  <dc:subject>Informal three phase mentoring task using Wave6 and turbulent boundary layer excitation</dc:subject>
  <dc:creator>Alex Jordan</dc:creator>
  <cp:keywords/>
  <dc:description>generated by python-docx</dc:description>
  <cp:lastModifiedBy/>
  <cp:revision>1</cp:revision>
  <dcterms:created xsi:type="dcterms:W3CDTF">2013-12-23T23:15:00Z</dcterms:created>
  <dcterms:modified xsi:type="dcterms:W3CDTF">2013-12-23T23:15:00Z</dcterms:modified>
  <cp:category/>
</cp:coreProperties>
</file>