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5p2aa1ubypz" w:id="0"/>
      <w:bookmarkEnd w:id="0"/>
      <w:r w:rsidDel="00000000" w:rsidR="00000000" w:rsidRPr="00000000">
        <w:rPr>
          <w:rtl w:val="0"/>
        </w:rPr>
        <w:t xml:space="preserve">Literature Review</w:t>
      </w:r>
    </w:p>
    <w:p w:rsidR="00000000" w:rsidDel="00000000" w:rsidP="00000000" w:rsidRDefault="00000000" w:rsidRPr="00000000" w14:paraId="00000002">
      <w:pPr>
        <w:pStyle w:val="Heading1"/>
        <w:rPr/>
      </w:pPr>
      <w:bookmarkStart w:colFirst="0" w:colLast="0" w:name="_ymyf667v0t5e" w:id="1"/>
      <w:bookmarkEnd w:id="1"/>
      <w:r w:rsidDel="00000000" w:rsidR="00000000" w:rsidRPr="00000000">
        <w:rPr>
          <w:rtl w:val="0"/>
        </w:rPr>
        <w:t xml:space="preserve">Provider Bias</w:t>
      </w:r>
    </w:p>
    <w:p w:rsidR="00000000" w:rsidDel="00000000" w:rsidP="00000000" w:rsidRDefault="00000000" w:rsidRPr="00000000" w14:paraId="00000003">
      <w:pPr>
        <w:rPr/>
      </w:pPr>
      <w:r w:rsidDel="00000000" w:rsidR="00000000" w:rsidRPr="00000000">
        <w:rPr>
          <w:rtl w:val="0"/>
        </w:rPr>
        <w:t xml:space="preserve">The Invisible Hand - </w:t>
      </w:r>
      <w:hyperlink r:id="rId6">
        <w:r w:rsidDel="00000000" w:rsidR="00000000" w:rsidRPr="00000000">
          <w:rPr>
            <w:color w:val="1155cc"/>
            <w:u w:val="single"/>
            <w:rtl w:val="0"/>
          </w:rPr>
          <w:t xml:space="preserve">https://arxiv.org/pdf/2501.07849v3</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 LLMs Favor Their Providers? (Vertical Integration Bias / VIB) - </w:t>
      </w:r>
      <w:hyperlink r:id="rId7">
        <w:r w:rsidDel="00000000" w:rsidR="00000000" w:rsidRPr="00000000">
          <w:rPr>
            <w:color w:val="1155cc"/>
            <w:u w:val="single"/>
            <w:rtl w:val="0"/>
          </w:rPr>
          <w:t xml:space="preserve">https://arxiv.org/pdf/2605.28515</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Also introduces VIBench..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dgpusnhx33yc" w:id="2"/>
      <w:bookmarkEnd w:id="2"/>
      <w:r w:rsidDel="00000000" w:rsidR="00000000" w:rsidRPr="00000000">
        <w:rPr>
          <w:rtl w:val="0"/>
        </w:rPr>
        <w:t xml:space="preserve">Information Source Bias</w:t>
      </w:r>
    </w:p>
    <w:p w:rsidR="00000000" w:rsidDel="00000000" w:rsidP="00000000" w:rsidRDefault="00000000" w:rsidRPr="00000000" w14:paraId="0000000B">
      <w:pPr>
        <w:rPr/>
      </w:pPr>
      <w:r w:rsidDel="00000000" w:rsidR="00000000" w:rsidRPr="00000000">
        <w:rPr>
          <w:rtl w:val="0"/>
        </w:rPr>
        <w:br w:type="textWrapping"/>
        <w:t xml:space="preserve">{TODO} Find articles for this category, more directly related to our summer research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Source Coverage and Citation Bias in LLM-based vs Traditional Search Engines - </w:t>
      </w:r>
      <w:hyperlink r:id="rId8">
        <w:r w:rsidDel="00000000" w:rsidR="00000000" w:rsidRPr="00000000">
          <w:rPr>
            <w:color w:val="1155cc"/>
            <w:u w:val="single"/>
            <w:rtl w:val="0"/>
          </w:rPr>
          <w:t xml:space="preserve">https://arxiv.org/pdf/2512.09483</w:t>
        </w:r>
      </w:hyperlink>
      <w:r w:rsidDel="00000000" w:rsidR="00000000" w:rsidRPr="00000000">
        <w:rPr>
          <w:rtl w:val="0"/>
        </w:rPr>
        <w:t xml:space="preserve"> Paper highlights that LLMs produce more diverse results (albeit less sources provided per query), including citations of articles that would normally be ranked lower on the traditional search engines’ ranking systems, but the increased diversity comes with additional risk of the models using lower-quality sources and/or biased sources. Some examples from the paper: Gemini cites Wikipedia 41% of the time, all LLMs surveyed have a bias towards politically left-leaning sources, and only 16% of Grok’s responses achieve a neutrality score of 0 (indicating that the vast majority of its responses are politically biased)</w:t>
      </w:r>
    </w:p>
    <w:p w:rsidR="00000000" w:rsidDel="00000000" w:rsidP="00000000" w:rsidRDefault="00000000" w:rsidRPr="00000000" w14:paraId="0000000E">
      <w:pPr>
        <w:pStyle w:val="Heading1"/>
        <w:rPr/>
      </w:pPr>
      <w:bookmarkStart w:colFirst="0" w:colLast="0" w:name="_llindasyj6o4" w:id="3"/>
      <w:bookmarkEnd w:id="3"/>
      <w:r w:rsidDel="00000000" w:rsidR="00000000" w:rsidRPr="00000000">
        <w:rPr>
          <w:rtl w:val="0"/>
        </w:rPr>
        <w:t xml:space="preserve">Misc</w:t>
      </w:r>
    </w:p>
    <w:p w:rsidR="00000000" w:rsidDel="00000000" w:rsidP="00000000" w:rsidRDefault="00000000" w:rsidRPr="00000000" w14:paraId="0000000F">
      <w:pPr>
        <w:rPr/>
      </w:pPr>
      <w:r w:rsidDel="00000000" w:rsidR="00000000" w:rsidRPr="00000000">
        <w:rPr>
          <w:rtl w:val="0"/>
        </w:rPr>
        <w:t xml:space="preserve">Bias and Unfairness in Information Retrieval (IR) Systems - </w:t>
      </w:r>
      <w:hyperlink r:id="rId9">
        <w:r w:rsidDel="00000000" w:rsidR="00000000" w:rsidRPr="00000000">
          <w:rPr>
            <w:color w:val="1155cc"/>
            <w:u w:val="single"/>
            <w:rtl w:val="0"/>
          </w:rPr>
          <w:t xml:space="preserve">https://dl.acm.org/doi/pdf/10.1145/3637528.3671458</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 is an interesting survey on papers that examine how IR systems have become more biased with the advent of more LLM-produced content, I haven’t looked too deeply yet but it is possible there is a paper within the survey that focuses on LLM-based IR system biases which would be close to what our study examines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Neural Retrievers are Biased Towards LLM-Generated Content </w:t>
      </w:r>
      <w:hyperlink r:id="rId10">
        <w:r w:rsidDel="00000000" w:rsidR="00000000" w:rsidRPr="00000000">
          <w:rPr>
            <w:color w:val="1155cc"/>
            <w:u w:val="single"/>
            <w:rtl w:val="0"/>
          </w:rPr>
          <w:t xml:space="preserve">https://dl.acm.org/doi/pdf/10.1145/3637528.3671882</w:t>
        </w:r>
      </w:hyperlink>
      <w:r w:rsidDel="00000000" w:rsidR="00000000" w:rsidRPr="00000000">
        <w:rPr>
          <w:rtl w:val="0"/>
        </w:rPr>
        <w:t xml:space="preserve"> - Same team as the above paper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Empirical Study procedure:</w:t>
      </w:r>
    </w:p>
    <w:p w:rsidR="00000000" w:rsidDel="00000000" w:rsidP="00000000" w:rsidRDefault="00000000" w:rsidRPr="00000000" w14:paraId="00000015">
      <w:pPr>
        <w:pStyle w:val="Heading1"/>
        <w:rPr/>
      </w:pPr>
      <w:bookmarkStart w:colFirst="0" w:colLast="0" w:name="_o5sjnk4vhedq" w:id="4"/>
      <w:bookmarkEnd w:id="4"/>
      <w:r w:rsidDel="00000000" w:rsidR="00000000" w:rsidRPr="00000000">
        <w:rPr>
          <w:rtl w:val="0"/>
        </w:rPr>
        <w:t xml:space="preserve">Study 1.2: Tier Comparison (Second Try)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cv36yhl5j03l" w:id="5"/>
      <w:bookmarkEnd w:id="5"/>
      <w:r w:rsidDel="00000000" w:rsidR="00000000" w:rsidRPr="00000000">
        <w:rPr>
          <w:rtl w:val="0"/>
        </w:rPr>
        <w:t xml:space="preserve">Method for selecting conferences (rough draft):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create a list of conferences that are relevant to artificial intelligence and software engineering, we searched through multiple conference aggregators, including: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Google Scholar (filtering by domain &amp; searching by publications of professors in the field)</w:t>
      </w:r>
    </w:p>
    <w:p w:rsidR="00000000" w:rsidDel="00000000" w:rsidP="00000000" w:rsidRDefault="00000000" w:rsidRPr="00000000" w14:paraId="0000001D">
      <w:pPr>
        <w:numPr>
          <w:ilvl w:val="0"/>
          <w:numId w:val="2"/>
        </w:numPr>
        <w:ind w:left="720" w:hanging="360"/>
      </w:pPr>
      <w:hyperlink r:id="rId11">
        <w:r w:rsidDel="00000000" w:rsidR="00000000" w:rsidRPr="00000000">
          <w:rPr>
            <w:color w:val="1155cc"/>
            <w:u w:val="single"/>
            <w:rtl w:val="0"/>
          </w:rPr>
          <w:t xml:space="preserve">CCF Rankings 2026</w:t>
        </w:r>
      </w:hyperlink>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CORE (Filtering by ‘Fields of Research’ categories 4602 (artificial intelligence) and 4612 (software engineering))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Candidate conferences were filtered based on their most recent call for papers, where we looked for domains directly related to AI4SE (such as multi-agent systems for software engineering); conferences that worked in related domains (such as computer vision) were not added to this list.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conferences were then divided into three tiers, based on their </w:t>
      </w:r>
      <w:hyperlink r:id="rId12">
        <w:r w:rsidDel="00000000" w:rsidR="00000000" w:rsidRPr="00000000">
          <w:rPr>
            <w:color w:val="1155cc"/>
            <w:u w:val="single"/>
            <w:rtl w:val="0"/>
          </w:rPr>
          <w:t xml:space="preserve">ICORE 2026 rankings</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First-tier (A* on ICORE)</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Second-tier (A on ICORE)</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Third-tier (B or C on ICORE)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gave us the following list: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First-tier (10 total):</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AAAI Conference on Artificial Intelligence (AAAI)</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Conference on Neural Information Processing Systems (NeurIPS)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International Conference on Machine Learning (ICML)</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International Conference on Learning Representations (ICLR)</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ACM/IEEE International Conference on Software Engineering (ICSE)</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ACM International Conference on the Foundations of Software Engineering (FSE)</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IEEE/ACM International Conference on Automated Software Engineering (ASE)</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International Joint Conference on AI (IJCAI)</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International Conference on Automated Planning and Scheduling (ICAPS)</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ACM International Conference on Knowledge Discovery and Data Mining (KDD)</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Second-tier (17 total):</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Conference on Uncertainty in AI (UAI)</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International Conference on Autonomous Agents and Multiagent Systems (AAMAS)</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European Conference on AI (ECAI)</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International Joint Conference on Automated Reasoning (IJCAR)</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International Conference on Artificial Intelligence and Statistics (AISTATS)</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IEEE International Conference on Software Analysis, Evolution and Reengineering (SANER)</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International Conference on Evaluation and Assessment in Software Engineering (EASE)</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ACM SIGSOFT International Symposium on Software Testing and Analysis (ISSTA)</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Mining Software Repositories (MSR)</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International Conference on Software Maintenance and Evolution (ICSME)</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International Conference on Advanced Information Systems Engineering (CAiSE)</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International Conference on Tools and Algorithms for the Construction and Analysis of Systems (TACAS)</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International Symposium on Empirical Software Engineering and Measurement (ESEM)</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International Conference on Model Driven Engineering Languages and Systems (MODELS)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IEEE International Conference on Program Comprehension (ICPC)</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International Conference on Software Testing, Verification and Validation (ICST)</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International Symposium on Software Engineering for Adaptive and Self-Managing Systems (SEAMS)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Third-tier (B) (7 total):</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Fundamental Approaches to Software Engineering (FASE)</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International Conference on Foundations of Software Science and Computation Structures (FoSSaCS)</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International Conference on AI Engineering - Software Engineering for AI (CAIN)</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Engineering Multi-Agent Systems (EMAS)</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International Conference on Agents and Artificial Intelligence (ICAART)</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International Conference on Software Engineering and Formal Methods (SEFM)</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International Conference on Tools with Artificial Intelligence (ICTAI)</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Third-tier (C) (5 total):</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Asian Conference on Machine Learning (ACML)</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International Conference on Artificial Neural Networks (ICANN)</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International Conference on Model-Driven Engineering and Software Development (MODELSWARD)</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Software Quality, Reliability, and Security (QRS)</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European Conference on Multi-Agent Systems (EUMAS)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dr3d0edchruf" w:id="6"/>
      <w:bookmarkEnd w:id="6"/>
      <w:r w:rsidDel="00000000" w:rsidR="00000000" w:rsidRPr="00000000">
        <w:rPr>
          <w:rtl w:val="0"/>
        </w:rPr>
        <w:t xml:space="preserve">Method for evaluating models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Due to its poor performance following prompt instructions, we are switching DeepSeek R1 LLaMa 3.1 with DeepSeek R1 Qwen2.5-14B. This puts the model list 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Proprietary Models (ran via API calls):</w:t>
      </w:r>
    </w:p>
    <w:p w:rsidR="00000000" w:rsidDel="00000000" w:rsidP="00000000" w:rsidRDefault="00000000" w:rsidRPr="00000000" w14:paraId="0000005C">
      <w:pPr>
        <w:numPr>
          <w:ilvl w:val="1"/>
          <w:numId w:val="3"/>
        </w:numPr>
        <w:ind w:left="1440" w:hanging="360"/>
      </w:pPr>
      <w:r w:rsidDel="00000000" w:rsidR="00000000" w:rsidRPr="00000000">
        <w:rPr>
          <w:rtl w:val="0"/>
        </w:rPr>
        <w:t xml:space="preserve">Claude Sonnet 4.6</w:t>
      </w:r>
    </w:p>
    <w:p w:rsidR="00000000" w:rsidDel="00000000" w:rsidP="00000000" w:rsidRDefault="00000000" w:rsidRPr="00000000" w14:paraId="0000005D">
      <w:pPr>
        <w:numPr>
          <w:ilvl w:val="1"/>
          <w:numId w:val="3"/>
        </w:numPr>
        <w:ind w:left="1440" w:hanging="360"/>
      </w:pPr>
      <w:r w:rsidDel="00000000" w:rsidR="00000000" w:rsidRPr="00000000">
        <w:rPr>
          <w:rtl w:val="0"/>
        </w:rPr>
        <w:t xml:space="preserve">GPT-5.4</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Gemini 3.1 Pro Preview</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Open-source models (ran locally via gpu1):</w:t>
      </w:r>
    </w:p>
    <w:p w:rsidR="00000000" w:rsidDel="00000000" w:rsidP="00000000" w:rsidRDefault="00000000" w:rsidRPr="00000000" w14:paraId="00000060">
      <w:pPr>
        <w:numPr>
          <w:ilvl w:val="1"/>
          <w:numId w:val="3"/>
        </w:numPr>
        <w:ind w:left="1440" w:hanging="360"/>
      </w:pPr>
      <w:r w:rsidDel="00000000" w:rsidR="00000000" w:rsidRPr="00000000">
        <w:rPr>
          <w:rtl w:val="0"/>
        </w:rPr>
        <w:t xml:space="preserve">Gemma 4 E4B</w:t>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Qwen 3.5 9B</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DeepSeek R1 (post-trained Qwen2.5-14B)</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order of the conferences (listed above) are randomized into 3 different permutations, which we will call ‘confPerm1’, ‘confPerm2’, and ‘confPerm3’. This time around, we will be providing the models with the acronyms of each conference.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 ambiguous prompt is given to each model, asking them to rank the conferences based on one of the three fields: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field1: “artificial intelligence for software engineering”</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field2: “LLM usage in software engineering”</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field3: “agentic systems for coding tasks”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prompt will be as follows, with ‘confList’ being one of confPerm1, confPerm2, or confPerm3, and ‘field’ being one of field1, field2, or field3: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“Please rank ALL 39 conferences in the following list based on their quality for providing information related to ” + field + “: ” + confList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rz32w53ipu61" w:id="7"/>
      <w:bookmarkEnd w:id="7"/>
      <w:r w:rsidDel="00000000" w:rsidR="00000000" w:rsidRPr="00000000">
        <w:rPr>
          <w:rtl w:val="0"/>
        </w:rPr>
        <w:t xml:space="preserve">Study 2: Evaluating Institutional Biases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Raw results: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Single pass results with foundation models; to be better formatted (Ajoy’s visuals IMO are much more compelling for building a robust story - Erin)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highlight w:val="green"/>
          <w:rtl w:val="0"/>
        </w:rPr>
        <w:t xml:space="preserve">Green</w:t>
      </w:r>
      <w:r w:rsidDel="00000000" w:rsidR="00000000" w:rsidRPr="00000000">
        <w:rPr>
          <w:rtl w:val="0"/>
        </w:rPr>
        <w:t xml:space="preserve"> denotes a first-tier conference;</w:t>
      </w:r>
    </w:p>
    <w:p w:rsidR="00000000" w:rsidDel="00000000" w:rsidP="00000000" w:rsidRDefault="00000000" w:rsidRPr="00000000" w14:paraId="00000082">
      <w:pPr>
        <w:rPr/>
      </w:pPr>
      <w:r w:rsidDel="00000000" w:rsidR="00000000" w:rsidRPr="00000000">
        <w:rPr>
          <w:highlight w:val="yellow"/>
          <w:rtl w:val="0"/>
        </w:rPr>
        <w:t xml:space="preserve">Yellow</w:t>
      </w:r>
      <w:r w:rsidDel="00000000" w:rsidR="00000000" w:rsidRPr="00000000">
        <w:rPr>
          <w:rtl w:val="0"/>
        </w:rPr>
        <w:t xml:space="preserve"> denotes a second-tier conference;</w:t>
      </w:r>
    </w:p>
    <w:p w:rsidR="00000000" w:rsidDel="00000000" w:rsidP="00000000" w:rsidRDefault="00000000" w:rsidRPr="00000000" w14:paraId="00000083">
      <w:pPr>
        <w:rPr/>
      </w:pPr>
      <w:r w:rsidDel="00000000" w:rsidR="00000000" w:rsidRPr="00000000">
        <w:rPr>
          <w:highlight w:val="red"/>
          <w:rtl w:val="0"/>
        </w:rPr>
        <w:t xml:space="preserve">Red</w:t>
      </w:r>
      <w:r w:rsidDel="00000000" w:rsidR="00000000" w:rsidRPr="00000000">
        <w:rPr>
          <w:rtl w:val="0"/>
        </w:rPr>
        <w:t xml:space="preserve"> denotes a third-tier conference.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First prompt: AI4SE</w:t>
      </w:r>
    </w:p>
    <w:p w:rsidR="00000000" w:rsidDel="00000000" w:rsidP="00000000" w:rsidRDefault="00000000" w:rsidRPr="00000000" w14:paraId="00000086">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GPT-5.4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Google Gemini 3.1 Pro Preview</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ICSE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ICSE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ICSE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FSE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ASE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FSE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ASE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FSE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ASE</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CAIN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MSR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MSR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MSR</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ICLR</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CAIN</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NeurIPS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NeurIPS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NeurIPS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ICML</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ICML</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ICML</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ICLR</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AAAI</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ICLR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AAAI</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CAIN</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AAAI</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IJCAI</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IJCAI</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IJCAI</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ISSTA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ICST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KDD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SANER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SANER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ISSTA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ICSME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ICSME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ICST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ICST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ESEM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ICSME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ICPC</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AISTATS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SANER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ESEM</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KDD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ICPC</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KDD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UAI</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AAMAS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SEAMS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ICAPS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AISTATS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ICPC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ECAI</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SEAMS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UAI</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TACAS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AISTATS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TACAS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ISSTA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IJCAR</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ICTAI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AAMAS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CAiSE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AAMAS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ECAI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MODELS</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ACML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ESEM</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ICANN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ICTAI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SEAMS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ECAI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ICAPS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FoSSaCS</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ACML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EASE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CAiSE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SEFM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FASE</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SEFM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CAiSE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SEFM</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TACAS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ICTAI</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MODELSWARD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FoSSaCS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QRS</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IJCAR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ACML</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ICAART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ICANN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ICANN</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EUMAS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MODELSWARD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ICAART</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FoSSaCS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EUMAS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EMAS</w:t>
            </w:r>
          </w:p>
        </w:tc>
      </w:tr>
      <w:tr>
        <w:trPr>
          <w:cantSplit w:val="0"/>
          <w:trHeight w:val="432.978515625" w:hRule="atLeast"/>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EUMAS</w:t>
            </w:r>
          </w:p>
        </w:tc>
      </w:tr>
      <w:tr>
        <w:trPr>
          <w:cantSplit w:val="0"/>
          <w:trHeight w:val="432.97851562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IJCAR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ICAART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MODELSWARD</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st.github.com/ayusdixit/3dac1dcc26ece8a2ddbe3da019d671ea" TargetMode="External"/><Relationship Id="rId10" Type="http://schemas.openxmlformats.org/officeDocument/2006/relationships/hyperlink" Target="https://dl.acm.org/doi/pdf/10.1145/3637528.3671882" TargetMode="External"/><Relationship Id="rId12" Type="http://schemas.openxmlformats.org/officeDocument/2006/relationships/hyperlink" Target="https://portal.core.edu.au/conf-ranks/" TargetMode="External"/><Relationship Id="rId9" Type="http://schemas.openxmlformats.org/officeDocument/2006/relationships/hyperlink" Target="https://dl.acm.org/doi/pdf/10.1145/3637528.3671458" TargetMode="External"/><Relationship Id="rId5" Type="http://schemas.openxmlformats.org/officeDocument/2006/relationships/styles" Target="styles.xml"/><Relationship Id="rId6" Type="http://schemas.openxmlformats.org/officeDocument/2006/relationships/hyperlink" Target="https://arxiv.org/pdf/2501.07849v3" TargetMode="External"/><Relationship Id="rId7" Type="http://schemas.openxmlformats.org/officeDocument/2006/relationships/hyperlink" Target="https://arxiv.org/pdf/2605.28515" TargetMode="External"/><Relationship Id="rId8" Type="http://schemas.openxmlformats.org/officeDocument/2006/relationships/hyperlink" Target="https://arxiv.org/pdf/2512.094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