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50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Compartiendo</w:t>
      </w:r>
      <w:r>
        <w:t xml:space="preserve"> </w:t>
      </w:r>
      <w:r>
        <w:t xml:space="preserve">datos</w:t>
      </w:r>
      <w:r>
        <w:t xml:space="preserve"> </w:t>
      </w:r>
      <w:r>
        <w:t xml:space="preserve">en</w:t>
      </w:r>
      <w:r>
        <w:t xml:space="preserve"> </w:t>
      </w:r>
      <w:r>
        <w:t xml:space="preserve">Ecología:</w:t>
      </w:r>
      <w:r>
        <w:t xml:space="preserve"> </w:t>
      </w:r>
      <w:r>
        <w:t xml:space="preserve">como</w:t>
      </w:r>
      <w:r>
        <w:t xml:space="preserve"> </w:t>
      </w:r>
      <w:r>
        <w:t xml:space="preserve">añadir</w:t>
      </w:r>
      <w:r>
        <w:t xml:space="preserve"> </w:t>
      </w:r>
      <w:r>
        <w:t xml:space="preserve">(¿más?)</w:t>
      </w:r>
      <w:r>
        <w:t xml:space="preserve"> </w:t>
      </w:r>
      <w:r>
        <w:t xml:space="preserve">valor</w:t>
      </w:r>
      <w:r>
        <w:t xml:space="preserve"> </w:t>
      </w:r>
      <w:r>
        <w:t xml:space="preserve">a</w:t>
      </w:r>
      <w:r>
        <w:t xml:space="preserve"> </w:t>
      </w:r>
      <w:r>
        <w:t xml:space="preserve">tus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Jesús</w:t>
      </w:r>
      <w:r>
        <w:t xml:space="preserve"> </w:t>
      </w:r>
      <w:r>
        <w:t xml:space="preserve">Pérez-Luque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Andrea</w:t>
      </w:r>
      <w:r>
        <w:t xml:space="preserve"> </w:t>
      </w:r>
      <w:r>
        <w:t xml:space="preserve">Ros</w:t>
      </w:r>
      <w:r>
        <w:t xml:space="preserve"> </w:t>
      </w:r>
      <w:r>
        <w:t xml:space="preserve">Candeira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Francisco</w:t>
      </w:r>
      <w:r>
        <w:t xml:space="preserve"> </w:t>
      </w:r>
      <w:r>
        <w:t xml:space="preserve">Rodríguez-Sánchez</w:t>
      </w:r>
      <w:r>
        <w:rPr>
          <w:vertAlign w:val="superscript"/>
        </w:rPr>
        <w:t xml:space="preserve">2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Laboratorio de Ecología, Instituto Interuniversitario de Investigación del Sistema Tierra (IISTA-CEAMA), Universidad de Granada, Avda. del Mediterráneo s/n, Granada 18006, España.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COMPLETAR</w:t>
      </w:r>
    </w:p>
    <w:p>
      <w:pPr>
        <w:pStyle w:val="BlockText"/>
      </w:pPr>
      <w:r>
        <w:t xml:space="preserve">Autor para correspondencia: A. J. Pérez-Luque [</w:t>
      </w:r>
      <w:hyperlink r:id="rId20">
        <w:r>
          <w:rPr>
            <w:rStyle w:val="Hyperlink"/>
          </w:rPr>
          <w:t xml:space="preserve">ajperez@ugr.es</w:t>
        </w:r>
      </w:hyperlink>
      <w:r>
        <w:t xml:space="preserve">]</w:t>
      </w:r>
    </w:p>
    <w:p>
      <w:pPr>
        <w:pStyle w:val="Heading1"/>
      </w:pPr>
      <w:bookmarkStart w:id="21" w:name="palabras-clave"/>
      <w:r>
        <w:t xml:space="preserve">Palabras clave</w:t>
      </w:r>
      <w:bookmarkEnd w:id="21"/>
    </w:p>
    <w:p>
      <w:pPr>
        <w:pStyle w:val="BlockText"/>
      </w:pPr>
      <w:r>
        <w:t xml:space="preserve">publicación de datos; repositorios de datos; data papers; metadatos</w:t>
      </w:r>
    </w:p>
    <w:p>
      <w:pPr>
        <w:pStyle w:val="Heading1"/>
      </w:pPr>
      <w:bookmarkStart w:id="22" w:name="keywords"/>
      <w:r>
        <w:t xml:space="preserve">Keywords</w:t>
      </w:r>
      <w:bookmarkEnd w:id="22"/>
    </w:p>
    <w:p>
      <w:pPr>
        <w:pStyle w:val="BlockText"/>
      </w:pPr>
      <w:r>
        <w:t xml:space="preserve">data publishing; data repository; data papers; metadata</w:t>
      </w:r>
    </w:p>
    <w:p>
      <w:pPr>
        <w:pStyle w:val="Heading2"/>
      </w:pPr>
      <w:bookmarkStart w:id="23" w:name="ejemplo-sinfonevada"/>
      <w:r>
        <w:t xml:space="preserve">Ejemplo SINFONEVADA</w:t>
      </w:r>
      <w:bookmarkEnd w:id="23"/>
    </w:p>
    <w:p>
      <w:pPr>
        <w:pStyle w:val="FirstParagraph"/>
      </w:pPr>
      <w:r>
        <w:t xml:space="preserve">Las plantaciones de pinares presentan menor riqueza de especies y menor diversidad de especies que los bosques naturales de encinar y robledal. Esto se debe, en ambas variables, al menor múmero de especies herbáceas presentes en las plantaciones de pinar</w:t>
      </w:r>
      <w:r>
        <w:t xml:space="preserve"> </w:t>
      </w:r>
      <w:r>
        <w:t xml:space="preserve">(Gómez-Aparicio et al., 2009)</w:t>
      </w:r>
      <w:r>
        <w:t xml:space="preserve">.</w:t>
      </w:r>
    </w:p>
    <w:p>
      <w:pPr>
        <w:pStyle w:val="BodyText"/>
      </w:pPr>
      <w:r>
        <w:t xml:space="preserve">Para establecer los valores iniciales de riqueza en cada uno de los tipos de cobertura vegetal vamos a analizar los datos de campo procedentes de los inventarios forestales SINFONEVADA</w:t>
      </w:r>
      <w:r>
        <w:t xml:space="preserve"> </w:t>
      </w:r>
      <w:r>
        <w:t xml:space="preserve">(Pérez-Luque et al., 2014)</w:t>
      </w:r>
      <w:r>
        <w:t xml:space="preserve">. Para ello consultaremos este</w:t>
      </w:r>
      <w:r>
        <w:t xml:space="preserve"> </w:t>
      </w:r>
      <w:hyperlink r:id="rId24">
        <w:r>
          <w:rPr>
            <w:rStyle w:val="Hyperlink"/>
          </w:rPr>
          <w:t xml:space="preserve">conjunto de datos</w:t>
        </w:r>
      </w:hyperlink>
      <w:r>
        <w:t xml:space="preserve"> </w:t>
      </w:r>
      <w:r>
        <w:t xml:space="preserve">en GBIF donde está documentado.</w:t>
      </w:r>
    </w:p>
    <w:p>
      <w:pPr>
        <w:pStyle w:val="BodyText"/>
      </w:pPr>
      <w:r>
        <w:t xml:space="preserve">El objetivo es</w:t>
      </w:r>
      <w:r>
        <w:t xml:space="preserve"> </w:t>
      </w:r>
      <w:r>
        <w:rPr>
          <w:i/>
          <w:b/>
        </w:rPr>
        <w:t xml:space="preserve">obtener una tabla de riqueza por ecosistema</w:t>
      </w:r>
      <w:r>
        <w:t xml:space="preserve">. Los pasos que realizaremos son:</w:t>
      </w:r>
    </w:p>
    <w:p>
      <w:pPr>
        <w:pStyle w:val="Compact"/>
        <w:numPr>
          <w:numId w:val="1003"/>
          <w:ilvl w:val="0"/>
        </w:numPr>
      </w:pPr>
      <w:r>
        <w:t xml:space="preserve">Estudiar el conjunto de datos. Consultar el identificador único (</w:t>
      </w:r>
      <w:r>
        <w:rPr>
          <w:rStyle w:val="VerbatimChar"/>
        </w:rPr>
        <w:t xml:space="preserve">uuid</w:t>
      </w:r>
      <w:r>
        <w:t xml:space="preserve">) del dataset:</w:t>
      </w:r>
      <w:r>
        <w:t xml:space="preserve"> </w:t>
      </w:r>
      <w:r>
        <w:rPr>
          <w:rStyle w:val="VerbatimChar"/>
        </w:rPr>
        <w:t xml:space="preserve">db6cd9d7-7be5-4cd0-8b3c-fb6dd7446472</w:t>
      </w:r>
    </w:p>
    <w:p>
      <w:pPr>
        <w:pStyle w:val="Compact"/>
        <w:numPr>
          <w:numId w:val="1003"/>
          <w:ilvl w:val="0"/>
        </w:numPr>
      </w:pPr>
      <w:r>
        <w:t xml:space="preserve">Descargar el dataset</w:t>
      </w:r>
    </w:p>
    <w:p>
      <w:pPr>
        <w:pStyle w:val="Compact"/>
        <w:numPr>
          <w:numId w:val="1003"/>
          <w:ilvl w:val="0"/>
        </w:numPr>
      </w:pPr>
      <w:r>
        <w:t xml:space="preserve">Obtener los valores de riqueza por ecosistema. Para ello utilizaremos el mapa de ecosistemas generado por el</w:t>
      </w:r>
      <w:r>
        <w:t xml:space="preserve"> </w:t>
      </w:r>
      <w:hyperlink r:id="rId25">
        <w:r>
          <w:rPr>
            <w:rStyle w:val="Hyperlink"/>
          </w:rPr>
          <w:t xml:space="preserve">Observatorio de Cambio Global de Sierra Nevada</w:t>
        </w:r>
      </w:hyperlink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Heading3"/>
      </w:pPr>
      <w:bookmarkStart w:id="26" w:name="obtener-el-conjunto-de-datos"/>
      <w:r>
        <w:t xml:space="preserve">Obtener el conjunto de datos</w:t>
      </w:r>
      <w:bookmarkEnd w:id="26"/>
    </w:p>
    <w:p>
      <w:pPr>
        <w:pStyle w:val="SourceCode"/>
      </w:pPr>
      <w:r>
        <w:rPr>
          <w:rStyle w:val="VerbatimChar"/>
        </w:rPr>
        <w:t xml:space="preserve">library("knitcitations")</w:t>
      </w:r>
      <w:r>
        <w:br w:type="textWrapping"/>
      </w:r>
      <w:r>
        <w:rPr>
          <w:rStyle w:val="VerbatimChar"/>
        </w:rPr>
        <w:t xml:space="preserve">library("rgbif")</w:t>
      </w:r>
      <w:r>
        <w:br w:type="textWrapping"/>
      </w:r>
      <w:r>
        <w:rPr>
          <w:rStyle w:val="VerbatimChar"/>
        </w:rPr>
        <w:t xml:space="preserve">library("rgdal")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1.2-16, (SVN revision 701)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2.1.2, released 2016/10/24</w:t>
      </w:r>
      <w:r>
        <w:br w:type="textWrapping"/>
      </w:r>
      <w:r>
        <w:rPr>
          <w:rStyle w:val="VerbatimChar"/>
        </w:rPr>
        <w:t xml:space="preserve">##  Path to GDAL shared files: /Users/ajpelu/Library/R/3.3/library/rgdal/gdal</w:t>
      </w:r>
      <w:r>
        <w:br w:type="textWrapping"/>
      </w:r>
      <w:r>
        <w:rPr>
          <w:rStyle w:val="VerbatimChar"/>
        </w:rPr>
        <w:t xml:space="preserve">##  GDAL binary built with GEOS: FALSE </w:t>
      </w:r>
      <w:r>
        <w:br w:type="textWrapping"/>
      </w:r>
      <w:r>
        <w:rPr>
          <w:rStyle w:val="VerbatimChar"/>
        </w:rPr>
        <w:t xml:space="preserve">##  Loaded PROJ.4 runtime: Rel. 4.9.1, 04 March 2015, [PJ_VERSION: 491]</w:t>
      </w:r>
      <w:r>
        <w:br w:type="textWrapping"/>
      </w:r>
      <w:r>
        <w:rPr>
          <w:rStyle w:val="VerbatimChar"/>
        </w:rPr>
        <w:t xml:space="preserve">##  Path to PROJ.4 shared files: /Users/ajpelu/Library/R/3.3/library/rgdal/proj</w:t>
      </w:r>
      <w:r>
        <w:br w:type="textWrapping"/>
      </w:r>
      <w:r>
        <w:rPr>
          <w:rStyle w:val="VerbatimChar"/>
        </w:rPr>
        <w:t xml:space="preserve">##  Linking to sp version: 1.2-5</w:t>
      </w:r>
    </w:p>
    <w:p>
      <w:pPr>
        <w:pStyle w:val="SourceCode"/>
      </w:pPr>
      <w:r>
        <w:rPr>
          <w:rStyle w:val="VerbatimChar"/>
        </w:rPr>
        <w:t xml:space="preserve">library("sp")</w:t>
      </w:r>
      <w:r>
        <w:br w:type="textWrapping"/>
      </w:r>
      <w:r>
        <w:rPr>
          <w:rStyle w:val="VerbatimChar"/>
        </w:rPr>
        <w:t xml:space="preserve">library("raster")</w:t>
      </w:r>
      <w:r>
        <w:br w:type="textWrapping"/>
      </w:r>
      <w:r>
        <w:rPr>
          <w:rStyle w:val="VerbatimChar"/>
        </w:rPr>
        <w:t xml:space="preserve">library("dplyr")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select,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library("sf")</w:t>
      </w:r>
    </w:p>
    <w:p>
      <w:pPr>
        <w:pStyle w:val="SourceCode"/>
      </w:pPr>
      <w:r>
        <w:rPr>
          <w:rStyle w:val="VerbatimChar"/>
        </w:rPr>
        <w:t xml:space="preserve">## Linking to GEOS 3.4.2, GDAL 2.1.2, proj.4 4.9.1</w:t>
      </w:r>
    </w:p>
    <w:p>
      <w:pPr>
        <w:pStyle w:val="SourceCode"/>
      </w:pPr>
      <w:r>
        <w:rPr>
          <w:rStyle w:val="VerbatimChar"/>
        </w:rPr>
        <w:t xml:space="preserve">library("knitr")</w:t>
      </w:r>
    </w:p>
    <w:p>
      <w:pPr>
        <w:pStyle w:val="Heading6"/>
      </w:pPr>
      <w:bookmarkStart w:id="27" w:name="tabla-1"/>
      <w:r>
        <w:t xml:space="preserve">TABLA 1</w:t>
      </w:r>
      <w:bookmarkEnd w:id="27"/>
    </w:p>
    <w:p>
      <w:pPr>
        <w:pStyle w:val="FirstParagraph"/>
      </w:pPr>
      <w:r>
        <w:rPr>
          <w:b/>
        </w:rPr>
        <w:t xml:space="preserve">Tabla 1</w:t>
      </w:r>
      <w:r>
        <w:t xml:space="preserve">. Cada tabla debe aportar su correspondiente encabezamiento explicativo. En los Artículos de investigación, de revisión y Comunicaciones breves se aportarán los encabezamientos tanto en castellano como en inglés, en letra Arial 10 y en página independiente. Es importante que sean simples y que no superen el ancho una página DIN A4 vertical. Los originales se deben aportar en formato tabla y no en formato imagen.</w:t>
      </w:r>
    </w:p>
    <w:p>
      <w:pPr>
        <w:pStyle w:val="BodyText"/>
      </w:pPr>
      <w:r>
        <w:rPr>
          <w:b/>
        </w:rPr>
        <w:t xml:space="preserve">Table 1</w:t>
      </w:r>
      <w:r>
        <w:t xml:space="preserve">. Table heading in English.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6"/>
        <w:gridCol w:w="1488"/>
        <w:gridCol w:w="800"/>
        <w:gridCol w:w="393"/>
        <w:gridCol w:w="561"/>
        <w:gridCol w:w="2345"/>
        <w:gridCol w:w="22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Ranking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 de Impacto 2017 (JCR, Clarivate Analytics, 2018)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de artículo principal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Obligatoriedad de la política de 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URLs útiles (criterios de repositorio)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URLs útiles (política de datos)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TRENDS IN ECOLOGY &amp; EVOLUTION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15,938</w:t>
            </w:r>
          </w:p>
        </w:tc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Annual Review of Ecology Evolution and Systematics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10,16</w:t>
            </w:r>
          </w:p>
        </w:tc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ISME Journal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9,52</w:t>
            </w:r>
          </w:p>
        </w:tc>
        <w:tc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Repositorios recomendados por Springer Nature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Política de datos de investigación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ECOLOGY LETTERS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9,137</w:t>
            </w:r>
          </w:p>
        </w:tc>
        <w:tc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Normas para los autores-Archivo de datos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Política de intercambio de datos de Wiley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GLOBAL CHANGE BIOLOGY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8,997</w:t>
            </w:r>
          </w:p>
        </w:tc>
        <w:tc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Normas para los autores-Intercambio de datos y accesibilidad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FRONTIERS IN ECOLOGY AND THE ENVIRONMENT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8,302</w:t>
            </w:r>
          </w:p>
        </w:tc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ECOLOGICAL MONOGRAPHS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7,828</w:t>
            </w:r>
          </w:p>
        </w:tc>
        <w:tc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Normas para los autores-Política de datos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Política de disponibilidad de datos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Molecular Ecology Resources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7,059</w:t>
            </w:r>
          </w:p>
        </w:tc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Methods in Ecology and Evolution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6,363</w:t>
            </w:r>
          </w:p>
        </w:tc>
        <w:tc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Política de datos y repositorios comunes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MOLECULAR ECOLOGY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6,131</w:t>
            </w:r>
          </w:p>
        </w:tc>
        <w:tc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Normas para los autores-Accesibilidad, almacenamiento y documentación de datos</w:t>
              </w:r>
            </w:hyperlink>
          </w:p>
        </w:tc>
        <w:tc>
          <w:p/>
        </w:tc>
      </w:tr>
    </w:tbl>
    <w:p>
      <w:pPr>
        <w:pStyle w:val="Heading6"/>
      </w:pPr>
      <w:bookmarkStart w:id="47" w:name="pies-de-figura"/>
      <w:r>
        <w:t xml:space="preserve">PIES DE FIGURA</w:t>
      </w:r>
      <w:bookmarkEnd w:id="47"/>
    </w:p>
    <w:p>
      <w:pPr>
        <w:pStyle w:val="FirstParagraph"/>
      </w:pPr>
      <w:r>
        <w:rPr>
          <w:b/>
        </w:rPr>
        <w:t xml:space="preserve">Figura 1</w:t>
      </w:r>
      <w:r>
        <w:t xml:space="preserve">. Pie de figura 1.</w:t>
      </w:r>
    </w:p>
    <w:p>
      <w:pPr>
        <w:pStyle w:val="BodyText"/>
      </w:pPr>
      <w:r>
        <w:rPr>
          <w:b/>
        </w:rPr>
        <w:t xml:space="preserve">Figura 2</w:t>
      </w:r>
      <w:r>
        <w:t xml:space="preserve">. Pie de figura 2.</w:t>
      </w:r>
    </w:p>
    <w:p>
      <w:pPr>
        <w:pStyle w:val="Heading6"/>
      </w:pPr>
      <w:bookmarkStart w:id="48" w:name="figure-legends"/>
      <w:r>
        <w:t xml:space="preserve">FIGURE LEGENDS</w:t>
      </w:r>
      <w:bookmarkEnd w:id="48"/>
    </w:p>
    <w:p>
      <w:pPr>
        <w:pStyle w:val="FirstParagraph"/>
      </w:pPr>
      <w:r>
        <w:rPr>
          <w:b/>
        </w:rPr>
        <w:t xml:space="preserve">Figure 1</w:t>
      </w:r>
      <w:r>
        <w:t xml:space="preserve">. Figure caption.</w:t>
      </w:r>
    </w:p>
    <w:p>
      <w:pPr>
        <w:pStyle w:val="BodyText"/>
      </w:pPr>
      <w:r>
        <w:rPr>
          <w:b/>
        </w:rPr>
        <w:t xml:space="preserve">Figure 2</w:t>
      </w:r>
      <w:r>
        <w:t xml:space="preserve">. Figure caption.</w:t>
      </w:r>
    </w:p>
    <w:p>
      <w:pPr>
        <w:pStyle w:val="Heading6"/>
      </w:pPr>
      <w:bookmarkStart w:id="49" w:name="figura-1"/>
      <w:r>
        <w:t xml:space="preserve">FIGURA 1</w:t>
      </w:r>
      <w:bookmarkEnd w:id="49"/>
    </w:p>
    <w:p>
      <w:pPr>
        <w:pStyle w:val="CaptionedFigure"/>
      </w:pPr>
      <w:r>
        <w:drawing>
          <wp:inline>
            <wp:extent cx="5727700" cy="4582160"/>
            <wp:effectExtent b="0" l="0" r="0" t="0"/>
            <wp:docPr descr="Figura 1. Esto es un ejemplo." title="" id="1" name="Picture"/>
            <a:graphic>
              <a:graphicData uri="http://schemas.openxmlformats.org/drawingml/2006/picture">
                <pic:pic>
                  <pic:nvPicPr>
                    <pic:cNvPr descr="manuscript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Esto es un ejemplo.</w:t>
      </w:r>
    </w:p>
    <w:p>
      <w:pPr>
        <w:pStyle w:val="Heading6"/>
      </w:pPr>
      <w:bookmarkStart w:id="51" w:name="figura-2"/>
      <w:r>
        <w:t xml:space="preserve">FIGURA 2</w:t>
      </w:r>
      <w:bookmarkEnd w:id="51"/>
    </w:p>
    <w:p>
      <w:pPr>
        <w:pStyle w:val="CaptionedFigure"/>
      </w:pPr>
      <w:r>
        <w:drawing>
          <wp:inline>
            <wp:extent cx="5727700" cy="4582160"/>
            <wp:effectExtent b="0" l="0" r="0" t="0"/>
            <wp:docPr descr="Figura 2. Segundo ejemplo" title="" id="1" name="Picture"/>
            <a:graphic>
              <a:graphicData uri="http://schemas.openxmlformats.org/drawingml/2006/picture">
                <pic:pic>
                  <pic:nvPicPr>
                    <pic:cNvPr descr="manuscript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Segundo ejemplo</w:t>
      </w:r>
    </w:p>
    <w:bookmarkStart w:id="55" w:name="refs"/>
    <w:bookmarkStart w:id="53" w:name="ref-GomezAparicio2009"/>
    <w:p>
      <w:pPr>
        <w:pStyle w:val="Bibliography"/>
      </w:pPr>
      <w:r>
        <w:t xml:space="preserve">Gómez-Aparicio, L., Zavala, M.A., Bonet, F.J., Zamora, R. 2009. Are pine plantations valid tools for restoring Mediterranean forests? An assessment along abiotic and biotic gradients.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19: 2124-2141.</w:t>
      </w:r>
    </w:p>
    <w:bookmarkEnd w:id="53"/>
    <w:bookmarkStart w:id="54" w:name="ref-PerezLuque2014"/>
    <w:p>
      <w:pPr>
        <w:pStyle w:val="Bibliography"/>
      </w:pPr>
      <w:r>
        <w:t xml:space="preserve">Pérez-Luque, A.J., Bonet, F.J., Pérez-Pérez, R., Aspizua, R., Lorite, J., Zamora, R. 2014. Sinfonevada: Dataset of floristic diversity in Sierra Nevada forests (SE Spain).</w:t>
      </w:r>
      <w:r>
        <w:t xml:space="preserve"> </w:t>
      </w:r>
      <w:r>
        <w:rPr>
          <w:i/>
        </w:rPr>
        <w:t xml:space="preserve">PhytoKeys</w:t>
      </w:r>
      <w:r>
        <w:t xml:space="preserve"> </w:t>
      </w:r>
      <w:r>
        <w:t xml:space="preserve">35: 1-15.</w:t>
      </w:r>
    </w:p>
    <w:bookmarkEnd w:id="54"/>
    <w:bookmarkEnd w:id="55"/>
    <w:sectPr w:rsidR="005A04E7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6" w:qFormat="1"/>
    <w:lsdException w:name="footer" w:uiPriority="99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hyperlink" Id="rId24" Target="http://www.gbif.org/dataset/db6cd9d7-7be5-4cd0-8b3c-fb6dd7446472" TargetMode="External" /><Relationship Type="http://schemas.openxmlformats.org/officeDocument/2006/relationships/hyperlink" Id="rId35" Target="https://authorservices.wiley.com/author-resources/Journal-Authors/open-access/data-sharing-citation/index.html" TargetMode="External" /><Relationship Type="http://schemas.openxmlformats.org/officeDocument/2006/relationships/hyperlink" Id="rId44" Target="https://besjournals.onlinelibrary.wiley.com/hub/data_archiving_policy" TargetMode="External" /><Relationship Type="http://schemas.openxmlformats.org/officeDocument/2006/relationships/hyperlink" Id="rId43" Target="https://besjournals.onlinelibrary.wiley.com/journal/2041210x" TargetMode="External" /><Relationship Type="http://schemas.openxmlformats.org/officeDocument/2006/relationships/hyperlink" Id="rId40" Target="https://esajournals.onlinelibrary.wiley.com/hub/journal/15577015/resources/author-guidelines-ecm#Submission_Requirements" TargetMode="External" /><Relationship Type="http://schemas.openxmlformats.org/officeDocument/2006/relationships/hyperlink" Id="rId41" Target="https://esajournals.onlinelibrary.wiley.com/hub/journal/15577015/resources/data-availability-policy-ecm" TargetMode="External" /><Relationship Type="http://schemas.openxmlformats.org/officeDocument/2006/relationships/hyperlink" Id="rId38" Target="https://esajournals.onlinelibrary.wiley.com/journal/15409309" TargetMode="External" /><Relationship Type="http://schemas.openxmlformats.org/officeDocument/2006/relationships/hyperlink" Id="rId39" Target="https://esajournals.onlinelibrary.wiley.com/journal/15577015" TargetMode="External" /><Relationship Type="http://schemas.openxmlformats.org/officeDocument/2006/relationships/hyperlink" Id="rId36" Target="https://onlinelibrary.wiley.com/journal/13652486" TargetMode="External" /><Relationship Type="http://schemas.openxmlformats.org/officeDocument/2006/relationships/hyperlink" Id="rId45" Target="https://onlinelibrary.wiley.com/journal/1365294x" TargetMode="External" /><Relationship Type="http://schemas.openxmlformats.org/officeDocument/2006/relationships/hyperlink" Id="rId33" Target="https://onlinelibrary.wiley.com/journal/14610248" TargetMode="External" /><Relationship Type="http://schemas.openxmlformats.org/officeDocument/2006/relationships/hyperlink" Id="rId42" Target="https://onlinelibrary.wiley.com/journal/17550998" TargetMode="External" /><Relationship Type="http://schemas.openxmlformats.org/officeDocument/2006/relationships/hyperlink" Id="rId37" Target="https://onlinelibrary.wiley.com/page/journal/13652486/homepage/forauthors.html" TargetMode="External" /><Relationship Type="http://schemas.openxmlformats.org/officeDocument/2006/relationships/hyperlink" Id="rId46" Target="https://onlinelibrary.wiley.com/page/journal/1365294x/homepage/forauthors.html" TargetMode="External" /><Relationship Type="http://schemas.openxmlformats.org/officeDocument/2006/relationships/hyperlink" Id="rId34" Target="https://onlinelibrary.wiley.com/page/journal/14610248/homepage/forauthors.html#tips18" TargetMode="External" /><Relationship Type="http://schemas.openxmlformats.org/officeDocument/2006/relationships/hyperlink" Id="rId29" Target="https://www.annualreviews.org/journal/ecolsys" TargetMode="External" /><Relationship Type="http://schemas.openxmlformats.org/officeDocument/2006/relationships/hyperlink" Id="rId28" Target="https://www.cell.com/trends/ecology-evolution/home" TargetMode="External" /><Relationship Type="http://schemas.openxmlformats.org/officeDocument/2006/relationships/hyperlink" Id="rId32" Target="https://www.nature.com/documents/aj-research-data-policy-type-2.pdf" TargetMode="External" /><Relationship Type="http://schemas.openxmlformats.org/officeDocument/2006/relationships/hyperlink" Id="rId30" Target="https://www.nature.com/ismej/" TargetMode="External" /><Relationship Type="http://schemas.openxmlformats.org/officeDocument/2006/relationships/hyperlink" Id="rId31" Target="https://www.springernature.com/gp/authors/research-data-policy/repositories/12327124" TargetMode="External" /><Relationship Type="http://schemas.openxmlformats.org/officeDocument/2006/relationships/hyperlink" Id="rId20" Target="mailto:ajperez@ugr.es" TargetMode="External" /><Relationship Type="http://schemas.openxmlformats.org/officeDocument/2006/relationships/hyperlink" Id="rId25" Target="www.obsnev.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bif.org/dataset/db6cd9d7-7be5-4cd0-8b3c-fb6dd7446472" TargetMode="External" /><Relationship Type="http://schemas.openxmlformats.org/officeDocument/2006/relationships/hyperlink" Id="rId35" Target="https://authorservices.wiley.com/author-resources/Journal-Authors/open-access/data-sharing-citation/index.html" TargetMode="External" /><Relationship Type="http://schemas.openxmlformats.org/officeDocument/2006/relationships/hyperlink" Id="rId44" Target="https://besjournals.onlinelibrary.wiley.com/hub/data_archiving_policy" TargetMode="External" /><Relationship Type="http://schemas.openxmlformats.org/officeDocument/2006/relationships/hyperlink" Id="rId43" Target="https://besjournals.onlinelibrary.wiley.com/journal/2041210x" TargetMode="External" /><Relationship Type="http://schemas.openxmlformats.org/officeDocument/2006/relationships/hyperlink" Id="rId40" Target="https://esajournals.onlinelibrary.wiley.com/hub/journal/15577015/resources/author-guidelines-ecm#Submission_Requirements" TargetMode="External" /><Relationship Type="http://schemas.openxmlformats.org/officeDocument/2006/relationships/hyperlink" Id="rId41" Target="https://esajournals.onlinelibrary.wiley.com/hub/journal/15577015/resources/data-availability-policy-ecm" TargetMode="External" /><Relationship Type="http://schemas.openxmlformats.org/officeDocument/2006/relationships/hyperlink" Id="rId38" Target="https://esajournals.onlinelibrary.wiley.com/journal/15409309" TargetMode="External" /><Relationship Type="http://schemas.openxmlformats.org/officeDocument/2006/relationships/hyperlink" Id="rId39" Target="https://esajournals.onlinelibrary.wiley.com/journal/15577015" TargetMode="External" /><Relationship Type="http://schemas.openxmlformats.org/officeDocument/2006/relationships/hyperlink" Id="rId36" Target="https://onlinelibrary.wiley.com/journal/13652486" TargetMode="External" /><Relationship Type="http://schemas.openxmlformats.org/officeDocument/2006/relationships/hyperlink" Id="rId45" Target="https://onlinelibrary.wiley.com/journal/1365294x" TargetMode="External" /><Relationship Type="http://schemas.openxmlformats.org/officeDocument/2006/relationships/hyperlink" Id="rId33" Target="https://onlinelibrary.wiley.com/journal/14610248" TargetMode="External" /><Relationship Type="http://schemas.openxmlformats.org/officeDocument/2006/relationships/hyperlink" Id="rId42" Target="https://onlinelibrary.wiley.com/journal/17550998" TargetMode="External" /><Relationship Type="http://schemas.openxmlformats.org/officeDocument/2006/relationships/hyperlink" Id="rId37" Target="https://onlinelibrary.wiley.com/page/journal/13652486/homepage/forauthors.html" TargetMode="External" /><Relationship Type="http://schemas.openxmlformats.org/officeDocument/2006/relationships/hyperlink" Id="rId46" Target="https://onlinelibrary.wiley.com/page/journal/1365294x/homepage/forauthors.html" TargetMode="External" /><Relationship Type="http://schemas.openxmlformats.org/officeDocument/2006/relationships/hyperlink" Id="rId34" Target="https://onlinelibrary.wiley.com/page/journal/14610248/homepage/forauthors.html#tips18" TargetMode="External" /><Relationship Type="http://schemas.openxmlformats.org/officeDocument/2006/relationships/hyperlink" Id="rId29" Target="https://www.annualreviews.org/journal/ecolsys" TargetMode="External" /><Relationship Type="http://schemas.openxmlformats.org/officeDocument/2006/relationships/hyperlink" Id="rId28" Target="https://www.cell.com/trends/ecology-evolution/home" TargetMode="External" /><Relationship Type="http://schemas.openxmlformats.org/officeDocument/2006/relationships/hyperlink" Id="rId32" Target="https://www.nature.com/documents/aj-research-data-policy-type-2.pdf" TargetMode="External" /><Relationship Type="http://schemas.openxmlformats.org/officeDocument/2006/relationships/hyperlink" Id="rId30" Target="https://www.nature.com/ismej/" TargetMode="External" /><Relationship Type="http://schemas.openxmlformats.org/officeDocument/2006/relationships/hyperlink" Id="rId31" Target="https://www.springernature.com/gp/authors/research-data-policy/repositories/12327124" TargetMode="External" /><Relationship Type="http://schemas.openxmlformats.org/officeDocument/2006/relationships/hyperlink" Id="rId20" Target="mailto:ajperez@ugr.es" TargetMode="External" /><Relationship Type="http://schemas.openxmlformats.org/officeDocument/2006/relationships/hyperlink" Id="rId25" Target="www.obsnev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Compartiendo datos en Ecología: como añadir (¿más?) valor a tus datos</dc:title>
  <dc:creator>Antonio Jesús Pérez-Luque1, Andrea Ros Candeira1, Francisco Rodríguez-Sánchez2</dc:creator>
  <cp:keywords/>
  <dcterms:created xsi:type="dcterms:W3CDTF">2019-04-08T10:56:12Z</dcterms:created>
  <dcterms:modified xsi:type="dcterms:W3CDTF">2019-04-08T10:56:12Z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