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EEA7" w14:textId="77777777" w:rsidR="001220DB" w:rsidRDefault="00FE5229">
      <w:pPr>
        <w:pStyle w:val="Title"/>
      </w:pPr>
      <w:r>
        <w:t>Land-use legacies and climate change as a double challenge to oak forest resilience: mismatches of geographical and ecological rear edges</w:t>
      </w:r>
    </w:p>
    <w:p w14:paraId="5FF36411" w14:textId="77777777" w:rsidR="001220DB" w:rsidRDefault="00FE5229">
      <w:pPr>
        <w:pStyle w:val="Heading3"/>
      </w:pPr>
      <w:bookmarkStart w:id="0" w:name="Xe9d1b76ec3cadd010c47a337af3daca22d314b9"/>
      <w:r>
        <w:t xml:space="preserve">Short title: </w:t>
      </w:r>
      <w:r>
        <w:rPr>
          <w:i/>
        </w:rPr>
        <w:t>Relict oak resilience at the rear edge</w:t>
      </w:r>
      <w:bookmarkEnd w:id="0"/>
    </w:p>
    <w:p w14:paraId="1752D37E" w14:textId="77777777"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14:paraId="5F885127" w14:textId="77777777"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14:paraId="0B9E30D8" w14:textId="77777777"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14:paraId="4EC4829E" w14:textId="77777777"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14:paraId="63D3D16C" w14:textId="77777777" w:rsidR="001220DB" w:rsidRDefault="00FE5229">
      <w:pPr>
        <w:pStyle w:val="Heading3"/>
      </w:pPr>
      <w:bookmarkStart w:id="2" w:name="manuscript-highlights"/>
      <w:r>
        <w:t>Manuscript highlights</w:t>
      </w:r>
      <w:bookmarkEnd w:id="2"/>
    </w:p>
    <w:p w14:paraId="5015F6E6" w14:textId="77777777" w:rsidR="001220DB" w:rsidRDefault="00FE5229">
      <w:pPr>
        <w:pStyle w:val="Compact"/>
        <w:numPr>
          <w:ilvl w:val="0"/>
          <w:numId w:val="10"/>
        </w:numPr>
      </w:pPr>
      <w:r>
        <w:rPr>
          <w:i/>
        </w:rPr>
        <w:t>Quercus pyrenaica</w:t>
      </w:r>
      <w:r>
        <w:t xml:space="preserve"> rear-edge forests showed high resilience at tree and stand levels</w:t>
      </w:r>
    </w:p>
    <w:p w14:paraId="75ADA726" w14:textId="77777777" w:rsidR="001220DB" w:rsidRDefault="00FE5229">
      <w:pPr>
        <w:pStyle w:val="Compact"/>
        <w:numPr>
          <w:ilvl w:val="0"/>
          <w:numId w:val="10"/>
        </w:numPr>
      </w:pPr>
      <w:r>
        <w:t>Resilience and growth response to climate followed a water-stress gradient</w:t>
      </w:r>
    </w:p>
    <w:p w14:paraId="21F25597" w14:textId="77777777" w:rsidR="001220DB" w:rsidRDefault="00FE5229">
      <w:pPr>
        <w:pStyle w:val="Compact"/>
        <w:numPr>
          <w:ilvl w:val="0"/>
          <w:numId w:val="10"/>
        </w:numPr>
      </w:pPr>
      <w:r>
        <w:t>Trees and stand expressed high sensitivity to drought and land-use legacies</w:t>
      </w:r>
    </w:p>
    <w:p w14:paraId="68CA5433" w14:textId="77777777" w:rsidR="001220DB" w:rsidRDefault="00FE5229">
      <w:pPr>
        <w:pStyle w:val="Heading2"/>
      </w:pPr>
      <w:bookmarkStart w:id="3" w:name="abstract"/>
      <w:r>
        <w:t>Abstract</w:t>
      </w:r>
      <w:bookmarkEnd w:id="3"/>
    </w:p>
    <w:p w14:paraId="350D1A45" w14:textId="77777777" w:rsidR="001220DB" w:rsidRDefault="00FE5229">
      <w:pPr>
        <w:numPr>
          <w:ilvl w:val="0"/>
          <w:numId w:val="11"/>
        </w:numPr>
      </w:pPr>
      <w:r>
        <w:t xml:space="preserve">Global change challenges ecosystems in dry locations transformed by intensive human use. Resilience to drought of relict Mediterranean </w:t>
      </w:r>
      <w:r>
        <w:rPr>
          <w:i/>
        </w:rPr>
        <w:t>Quercus pyrenaica</w:t>
      </w:r>
      <w:r>
        <w:t xml:space="preserve"> Willd. populations in the southern Iberian Peninsula was analyzed in relation to historical records of land use, employing </w:t>
      </w:r>
      <w:r>
        <w:lastRenderedPageBreak/>
        <w:t>dendroecological growth of adult trees and greenness (EVI) as proxies for secondary and primary growth.</w:t>
      </w:r>
    </w:p>
    <w:p w14:paraId="52B59891" w14:textId="77777777"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14:paraId="1BAAC1CD" w14:textId="77777777" w:rsidR="001220DB" w:rsidRDefault="00FE5229">
      <w:pPr>
        <w:numPr>
          <w:ilvl w:val="0"/>
          <w:numId w:val="11"/>
        </w:numPr>
      </w:pPr>
      <w:r>
        <w:t xml:space="preserve">The high values of resilience observed in our study suggest that </w:t>
      </w:r>
      <w:r>
        <w:rPr>
          <w:i/>
        </w:rPr>
        <w:t>Quercus pyrenaica</w:t>
      </w:r>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00D9A81F" w14:textId="77777777" w:rsidR="001220DB" w:rsidRDefault="00FE5229">
      <w:pPr>
        <w:pStyle w:val="Heading3"/>
      </w:pPr>
      <w:bookmarkStart w:id="4" w:name="keywords"/>
      <w:r>
        <w:t>Keywords</w:t>
      </w:r>
      <w:bookmarkEnd w:id="4"/>
    </w:p>
    <w:p w14:paraId="39136E26" w14:textId="088B7DC9" w:rsidR="001220DB" w:rsidRDefault="00FE5229">
      <w:r>
        <w:t xml:space="preserve">extreme drought, resilience, rear edge, </w:t>
      </w:r>
      <w:r>
        <w:rPr>
          <w:i/>
        </w:rPr>
        <w:t xml:space="preserve">Quercus </w:t>
      </w:r>
      <w:proofErr w:type="spellStart"/>
      <w:r>
        <w:rPr>
          <w:i/>
        </w:rPr>
        <w:t>pyrenaica</w:t>
      </w:r>
      <w:proofErr w:type="spellEnd"/>
      <w:r>
        <w:t xml:space="preserve">, tree growth, </w:t>
      </w:r>
      <w:r w:rsidRPr="005F48CB">
        <w:rPr>
          <w:color w:val="FF0000"/>
        </w:rPr>
        <w:t>dendro</w:t>
      </w:r>
      <w:r w:rsidR="005F48CB" w:rsidRPr="005F48CB">
        <w:rPr>
          <w:color w:val="FF0000"/>
        </w:rPr>
        <w:t>ec</w:t>
      </w:r>
      <w:r w:rsidRPr="005F48CB">
        <w:rPr>
          <w:color w:val="FF0000"/>
        </w:rPr>
        <w:t>ology</w:t>
      </w:r>
      <w:r>
        <w:t>, remote sensing</w:t>
      </w:r>
    </w:p>
    <w:p w14:paraId="39758D2F" w14:textId="77777777" w:rsidR="001220DB" w:rsidRDefault="00FE5229">
      <w:pPr>
        <w:pStyle w:val="Heading2"/>
      </w:pPr>
      <w:bookmarkStart w:id="5" w:name="introduction"/>
      <w:r>
        <w:t>Introduction</w:t>
      </w:r>
      <w:bookmarkEnd w:id="5"/>
    </w:p>
    <w:p w14:paraId="6DB62029" w14:textId="0D5FD397" w:rsidR="001220DB" w:rsidRDefault="00FE5229">
      <w:r w:rsidRPr="006C7E31">
        <w:t>The response of species to changing environments</w:t>
      </w:r>
      <w:r w:rsidR="006C7E31" w:rsidRPr="006C7E31">
        <w:t xml:space="preserve"> </w:t>
      </w:r>
      <w:r w:rsidR="00733258" w:rsidRPr="00BB6283">
        <w:rPr>
          <w:color w:val="FF0000"/>
        </w:rPr>
        <w:t>(</w:t>
      </w:r>
      <w:r w:rsidR="00733258" w:rsidRPr="00BB6283">
        <w:rPr>
          <w:i/>
          <w:iCs/>
          <w:color w:val="FF0000"/>
        </w:rPr>
        <w:t>e.g.</w:t>
      </w:r>
      <w:r w:rsidR="00733258" w:rsidRPr="00BB6283">
        <w:rPr>
          <w:color w:val="FF0000"/>
        </w:rPr>
        <w:t xml:space="preserve"> distributional shifts) </w:t>
      </w:r>
      <w:r w:rsidRPr="006C7E31">
        <w:t>is likely to be determined largely by population responses at range margins (</w:t>
      </w:r>
      <w:proofErr w:type="spellStart"/>
      <w:r w:rsidRPr="006C7E31">
        <w:t>Hampe</w:t>
      </w:r>
      <w:proofErr w:type="spellEnd"/>
      <w:r w:rsidRPr="006C7E31">
        <w:t xml:space="preserve"> and Petit 2005).</w:t>
      </w:r>
      <w:r>
        <w:t xml:space="preserve"> Peripheral populations are usually considered more vulnerable compared with populations occurring at the center of a species’ range (</w:t>
      </w:r>
      <w:r>
        <w:rPr>
          <w:i/>
        </w:rPr>
        <w:t>i.e.</w:t>
      </w:r>
      <w:r>
        <w:t xml:space="preserve"> center-periphery hypothesis; Sagarin and Gaines 2002; Pironon and others 2016). </w:t>
      </w:r>
      <w:r w:rsidRPr="006C7E31">
        <w:rPr>
          <w:strike/>
        </w:rPr>
        <w:t>It has been assumed that geographical and ecological rear-edge populations match</w:t>
      </w:r>
      <w:r w:rsidRPr="006C7E31">
        <w:t>.</w:t>
      </w:r>
      <w:r>
        <w:t xml:space="preserve"> </w:t>
      </w:r>
      <w:r w:rsidR="008C53A8" w:rsidRPr="008C53A8">
        <w:rPr>
          <w:color w:val="FF0000"/>
        </w:rPr>
        <w:t xml:space="preserve">It has been often assumed that geographically marginal populations represent ecological marginal populations. </w:t>
      </w:r>
      <w:r>
        <w:t>This means lower performance, higher vulnerability, and thus higher risk of extinction than for populations at the core of the species’ range (</w:t>
      </w:r>
      <w:r w:rsidR="005137A8" w:rsidRPr="005137A8">
        <w:rPr>
          <w:color w:val="FF0000"/>
        </w:rPr>
        <w:t xml:space="preserve">Rehm and others 2015; </w:t>
      </w:r>
      <w:proofErr w:type="spellStart"/>
      <w:r>
        <w:t>Pironon</w:t>
      </w:r>
      <w:proofErr w:type="spellEnd"/>
      <w:r>
        <w:t xml:space="preserve"> and others 2016; </w:t>
      </w:r>
      <w:proofErr w:type="spellStart"/>
      <w:r w:rsidRPr="006C7E31">
        <w:t>Vilà</w:t>
      </w:r>
      <w:proofErr w:type="spellEnd"/>
      <w:r w:rsidRPr="006C7E31">
        <w:t>-Cabrera and others 2019</w:t>
      </w:r>
      <w:r w:rsidR="00573191" w:rsidRPr="00573191">
        <w:t xml:space="preserve">; </w:t>
      </w:r>
      <w:proofErr w:type="spellStart"/>
      <w:r w:rsidR="00573191" w:rsidRPr="00573191">
        <w:rPr>
          <w:color w:val="FF0000"/>
        </w:rPr>
        <w:t>Oldfather</w:t>
      </w:r>
      <w:proofErr w:type="spellEnd"/>
      <w:r w:rsidR="00573191" w:rsidRPr="00573191">
        <w:rPr>
          <w:color w:val="FF0000"/>
        </w:rPr>
        <w:t xml:space="preserve"> and others 2020</w:t>
      </w:r>
      <w:r w:rsidRPr="00573191">
        <w:t>).</w:t>
      </w:r>
      <w:r>
        <w:t xml:space="preserve"> </w:t>
      </w:r>
      <w:r w:rsidRPr="004130EB">
        <w:rPr>
          <w:highlight w:val="yellow"/>
        </w:rPr>
        <w:t>Nonetheless, recent reviews report that species- and population-specific responses do not always support this hypothesis (Sexton and others 2009; Abeli and others 2014)</w:t>
      </w:r>
      <w:r>
        <w:t xml:space="preserve">. In this respect, to fully understand changes in distribution and abundance of species as a </w:t>
      </w:r>
      <w:r w:rsidRPr="004130EB">
        <w:rPr>
          <w:highlight w:val="yellow"/>
        </w:rPr>
        <w:t>consequence of global-change, we need to determine under what environmental conditions the geographical rear edge does not correspond with the ecological one (Vilà-Cabrera and Jump 2019).</w:t>
      </w:r>
    </w:p>
    <w:p w14:paraId="7EFCA7CC" w14:textId="77777777" w:rsidR="001220DB" w:rsidRDefault="00FE5229">
      <w:pPr>
        <w:pStyle w:val="BodyText"/>
      </w:pPr>
      <w:r>
        <w:t xml:space="preserve">Climate change is expected to cause major shifts in the distribution and abundance of plant communities, and there are already signs of more intense and longer droughts (Allen and others 2010). In fact, drought </w:t>
      </w:r>
      <w:r>
        <w:lastRenderedPageBreak/>
        <w:t xml:space="preserve">frequency and severity have increased in recent decades, with a trend towards drier summers, particularly for Southern Europe (Vicente-Serrano and others 2014; Stagge and others 2017). This is especially critical, since climate-change projections for the Mediterranean area forecast more frequent and severe extreme climate events (Spinoni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In a global-change context, the impact of drought on vegetation needs to be evaluated regarding the interactions with other drivers of change (Doblas-Miranda and others 2017). This is especially relevant for areas with a long history of landscape alteration, such as the Mediterranean region, where land-use change plays a major role in current ecosystem ecology (Navarro-González and others 2013), </w:t>
      </w:r>
      <w:r w:rsidRPr="004130EB">
        <w:rPr>
          <w:strike/>
          <w:highlight w:val="yellow"/>
        </w:rPr>
        <w:t>given that the interactions of drought and land-use change are crucial for Mediterranean forests (Doblas-Miranda and others 2017).</w:t>
      </w:r>
    </w:p>
    <w:p w14:paraId="3DBE3452" w14:textId="77777777" w:rsidR="001220DB" w:rsidRDefault="00FE5229">
      <w:pPr>
        <w:pStyle w:val="BodyText"/>
      </w:pPr>
      <w:r w:rsidRPr="004B7BE5">
        <w:t>The effects of drought are also especially relevant for populations considered to be located along the rear edge (either latitudinal or altitudinal along climatic gradients) of their distribution. In these cases, climatic conditions mark the species limits, and the populations are likely to be more sensitive to minor climatic and microtopographic variations (Hampe and Petit 2005). The response of rear-edge populations to climate variations could be useful in estimating the adaptation of species to predicted climatic changes (Jump and others 2010).</w:t>
      </w:r>
      <w:r>
        <w:t xml:space="preserve"> </w:t>
      </w:r>
      <w:r w:rsidRPr="004130EB">
        <w:rPr>
          <w:strike/>
          <w:highlight w:val="yellow"/>
        </w:rPr>
        <w:t>Also, it is crucial to accurately characterize the ecological rear-edge of species</w:t>
      </w:r>
      <w:r>
        <w:t xml:space="preserve">. </w:t>
      </w:r>
      <w:r w:rsidRPr="004B7BE5">
        <w:t xml:space="preserve">This can be particularly misleading in ecosystems where land-use legacies have strongly modified species distribution (Vilà-Cabrera and others 2019). </w:t>
      </w:r>
      <w:r w:rsidRPr="004B7BE5">
        <w:rPr>
          <w:strike/>
        </w:rPr>
        <w:t>Furthermore, this characterization becomes even more critical for relict populations driven by historical land uses when they harbor high levels of intraspecific genetic diversity (Valbuena-</w:t>
      </w:r>
      <w:proofErr w:type="spellStart"/>
      <w:r w:rsidRPr="004B7BE5">
        <w:rPr>
          <w:strike/>
        </w:rPr>
        <w:t>Carabaña</w:t>
      </w:r>
      <w:proofErr w:type="spellEnd"/>
      <w:r w:rsidRPr="004B7BE5">
        <w:rPr>
          <w:strike/>
        </w:rPr>
        <w:t xml:space="preserve"> and Gil 2013).</w:t>
      </w:r>
    </w:p>
    <w:p w14:paraId="44EA0754" w14:textId="77777777" w:rsidR="00B4571B" w:rsidRPr="00B4571B" w:rsidRDefault="00FE5229" w:rsidP="00B4571B">
      <w:pPr>
        <w:pStyle w:val="BodyText"/>
        <w:rPr>
          <w:color w:val="FF0000"/>
        </w:rPr>
      </w:pPr>
      <w:r>
        <w:t xml:space="preserve">The assessment of resilience to climate disturbances such as droughts provides critical information concerning the capacity of the forests to maintain their structure and render valuable ecosystem services. </w:t>
      </w:r>
      <w:r w:rsidR="00B4571B" w:rsidRPr="00B4571B">
        <w:rPr>
          <w:color w:val="FF0000"/>
        </w:rPr>
        <w:t>Resilience is the capacity of an ecosystem to persist and maintain its state and functions in the face of disturbance (</w:t>
      </w:r>
      <w:proofErr w:type="spellStart"/>
      <w:r w:rsidR="00B4571B" w:rsidRPr="00B4571B">
        <w:rPr>
          <w:color w:val="FF0000"/>
        </w:rPr>
        <w:t>Holling</w:t>
      </w:r>
      <w:proofErr w:type="spellEnd"/>
      <w:r w:rsidR="00B4571B" w:rsidRPr="00B4571B">
        <w:rPr>
          <w:color w:val="FF0000"/>
        </w:rPr>
        <w:t xml:space="preserve"> 1973; Hodgson and others 2015). </w:t>
      </w:r>
      <w:proofErr w:type="spellStart"/>
      <w:r w:rsidR="00B4571B" w:rsidRPr="00B4571B">
        <w:rPr>
          <w:color w:val="FF0000"/>
        </w:rPr>
        <w:t>Lloret</w:t>
      </w:r>
      <w:proofErr w:type="spellEnd"/>
      <w:r w:rsidR="00B4571B" w:rsidRPr="00B4571B">
        <w:rPr>
          <w:color w:val="FF0000"/>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00B4571B" w:rsidRPr="00B4571B">
        <w:rPr>
          <w:color w:val="FF0000"/>
        </w:rPr>
        <w:t>Ingrisch</w:t>
      </w:r>
      <w:proofErr w:type="spellEnd"/>
      <w:r w:rsidR="00B4571B" w:rsidRPr="00B4571B">
        <w:rPr>
          <w:color w:val="FF0000"/>
        </w:rPr>
        <w:t xml:space="preserve"> and Bahn 2018). This approach has been very popular to assess the forest resilience, because it allows a simple, yet highly efficient assessment of short-term responses of trees to drought, while not exempt from some criticism (Schwarz and others 2019).</w:t>
      </w:r>
    </w:p>
    <w:p w14:paraId="6127FDAD" w14:textId="77777777" w:rsidR="001220DB" w:rsidRDefault="00FE5229">
      <w:pPr>
        <w:pStyle w:val="BodyText"/>
      </w:pPr>
      <w:r>
        <w:t xml:space="preserve">The drought resilience of species is better assessed by a combination of several approaches, such as </w:t>
      </w:r>
      <w:r w:rsidRPr="005F48CB">
        <w:rPr>
          <w:color w:val="FF0000"/>
          <w:highlight w:val="yellow"/>
        </w:rPr>
        <w:t>dendro</w:t>
      </w:r>
      <w:r w:rsidR="005F48CB" w:rsidRPr="005F48CB">
        <w:rPr>
          <w:color w:val="FF0000"/>
          <w:highlight w:val="yellow"/>
        </w:rPr>
        <w:t>eco</w:t>
      </w:r>
      <w:r w:rsidRPr="005F48CB">
        <w:rPr>
          <w:color w:val="FF0000"/>
          <w:highlight w:val="yellow"/>
        </w:rPr>
        <w:t>logy</w:t>
      </w:r>
      <w:r w:rsidRPr="006A32F8">
        <w:rPr>
          <w:highlight w:val="yellow"/>
        </w:rPr>
        <w:t xml:space="preserve"> and remote sensing. 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individiual trees (Fritts 1976). Remote sensing can be </w:t>
      </w:r>
      <w:r>
        <w:lastRenderedPageBreak/>
        <w:t>used to analyze the impact of drought on ecosystems and hence on the stand (</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 Nonetheless, it is crucial to ascertain whether the responses at the tree level differ from those at the ecosystem level and characterize the spatial variability of this response in rear-edge populations.</w:t>
      </w:r>
    </w:p>
    <w:p w14:paraId="563BBFB8" w14:textId="77777777" w:rsidR="001220DB" w:rsidRDefault="00FE5229">
      <w:pPr>
        <w:pStyle w:val="BodyText"/>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Quercus pyrenaica</w:t>
      </w:r>
      <w:r>
        <w:t xml:space="preserve"> 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 </w:t>
      </w:r>
      <w:r w:rsidRPr="00733258">
        <w:rPr>
          <w:strike/>
          <w:color w:val="FF0000"/>
        </w:rPr>
        <w:t>In the study area, the rear edge of relict populations is imposed by historical land use</w:t>
      </w:r>
      <w:r w:rsidRPr="00733258">
        <w:t>.</w:t>
      </w:r>
      <w:r>
        <w:t xml:space="preserve"> Our main hypothesis is that, limited by their land-use legacy, these stands will show low resilience to extreme drought from </w:t>
      </w:r>
      <w:r w:rsidRPr="006A32F8">
        <w:rPr>
          <w:highlight w:val="yellow"/>
        </w:rPr>
        <w:t>climate change</w:t>
      </w:r>
      <w:r w:rsidR="003A2AC4">
        <w:rPr>
          <w:highlight w:val="yellow"/>
        </w:rPr>
        <w:t xml:space="preserve"> </w:t>
      </w:r>
      <w:r w:rsidR="003A2AC4" w:rsidRPr="003A2AC4">
        <w:rPr>
          <w:color w:val="FF0000"/>
        </w:rPr>
        <w:t>along</w:t>
      </w:r>
      <w:r w:rsidRPr="003A2AC4">
        <w:rPr>
          <w:color w:val="FF0000"/>
          <w:highlight w:val="yellow"/>
        </w:rPr>
        <w:t xml:space="preserve"> </w:t>
      </w:r>
      <w:r w:rsidRPr="006A32F8">
        <w:rPr>
          <w:highlight w:val="yellow"/>
        </w:rPr>
        <w:t>a small-scale gradient</w:t>
      </w:r>
      <w:r>
        <w:t>. To test this hypothesis, we: (</w:t>
      </w:r>
      <w:r>
        <w:rPr>
          <w:i/>
        </w:rPr>
        <w:t>i</w:t>
      </w:r>
      <w:r>
        <w:t xml:space="preserve">) quantified how recent extreme drought events influenced primary and secondary growth of </w:t>
      </w:r>
      <w:r>
        <w:rPr>
          <w:i/>
        </w:rPr>
        <w:t>Quercus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6C526F">
        <w:t>resistance, resilience, and recovery to extreme drought events.</w:t>
      </w:r>
    </w:p>
    <w:p w14:paraId="4D36E8EF" w14:textId="77777777" w:rsidR="001220DB" w:rsidRDefault="00FE5229">
      <w:pPr>
        <w:pStyle w:val="Heading2"/>
      </w:pPr>
      <w:bookmarkStart w:id="6" w:name="materials-and-methods"/>
      <w:r>
        <w:t>Materials and methods</w:t>
      </w:r>
      <w:bookmarkEnd w:id="6"/>
    </w:p>
    <w:p w14:paraId="4E92F2AA" w14:textId="77777777" w:rsidR="001220DB" w:rsidRDefault="00FE5229">
      <w:pPr>
        <w:pStyle w:val="Heading3"/>
      </w:pPr>
      <w:bookmarkStart w:id="7" w:name="tree-species-and-study-site"/>
      <w:r>
        <w:t>Tree species and study site</w:t>
      </w:r>
      <w:bookmarkEnd w:id="7"/>
    </w:p>
    <w:p w14:paraId="7674356D" w14:textId="77777777" w:rsidR="001220DB" w:rsidRDefault="00FE5229">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63329659" w14:textId="77777777" w:rsidR="001220DB" w:rsidRDefault="00FE5229">
      <w:pPr>
        <w:pStyle w:val="BodyText"/>
      </w:pPr>
      <w:r>
        <w:lastRenderedPageBreak/>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w:t>
      </w:r>
      <w:r w:rsidRPr="006A32F8">
        <w:rPr>
          <w:highlight w:val="yellow"/>
        </w:rPr>
        <w:t xml:space="preserve">They are the richest forest formation </w:t>
      </w:r>
      <w:r w:rsidR="003A2AC4" w:rsidRPr="003A2AC4">
        <w:rPr>
          <w:color w:val="FF0000"/>
        </w:rPr>
        <w:t xml:space="preserve">in vascular plant species </w:t>
      </w:r>
      <w:r w:rsidRPr="006A32F8">
        <w:rPr>
          <w:highlight w:val="yellow"/>
        </w:rPr>
        <w:t>of Sierra Nevada</w:t>
      </w:r>
      <w:r>
        <w:t>, containing several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26BEC8FF" w14:textId="77777777" w:rsidR="001220DB" w:rsidRDefault="00FE5229">
      <w:pPr>
        <w:pStyle w:val="Heading3"/>
      </w:pPr>
      <w:bookmarkStart w:id="8" w:name="climatic-data-and-drought-episodes"/>
      <w:r>
        <w:t>Climatic data and drought episodes</w:t>
      </w:r>
      <w:bookmarkEnd w:id="8"/>
    </w:p>
    <w:p w14:paraId="0031B15D" w14:textId="77777777" w:rsidR="001220DB" w:rsidRDefault="00FE5229">
      <w: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0D6DDE48" w14:textId="77777777"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0">
        <w:r>
          <w:rPr>
            <w:rStyle w:val="Hyperlink"/>
          </w:rPr>
          <w:t>http://spei.csic.es/database.html</w:t>
        </w:r>
      </w:hyperlink>
      <w:r>
        <w:t xml:space="preserve">). </w:t>
      </w:r>
      <w:r w:rsidRPr="001D3D44">
        <w:rPr>
          <w:highlight w:val="yellow"/>
        </w:rPr>
        <w:t>A severe drought event starts when SPEI falls below the threshold of -1.28 (Páscoa and others 2017; Spinoni and others 2017). A drought event is considered only when SPEI values fall below that threshold for at least two consecutive months. For each drought event, we</w:t>
      </w:r>
      <w:r>
        <w:t xml:space="preserve"> computed: the </w:t>
      </w:r>
      <w:r>
        <w:rPr>
          <w:i/>
        </w:rPr>
        <w:t>duration</w:t>
      </w:r>
      <w:r>
        <w:t xml:space="preserve"> as the number of consecutive months with the SPEI lower than a certain </w:t>
      </w:r>
      <w:r>
        <w:lastRenderedPageBreak/>
        <w:t xml:space="preserve">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AF52B0D" w14:textId="77777777" w:rsidR="001220DB" w:rsidRDefault="00FE5229">
      <w:pPr>
        <w:pStyle w:val="Heading3"/>
      </w:pPr>
      <w:bookmarkStart w:id="9" w:name="Xbdfd3d9c8ffba9f4df78416dffc23632de32ef3"/>
      <w:r>
        <w:t>Greenness data to assess ecosystem resilience</w:t>
      </w:r>
      <w:bookmarkEnd w:id="9"/>
    </w:p>
    <w:p w14:paraId="3A817117" w14:textId="77777777" w:rsidR="001220DB" w:rsidRDefault="00FE5229">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12DC4378" w14:textId="77777777"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6787E">
        <w:t xml:space="preserve">value of EVI for year </w:t>
      </w:r>
      <m:oMath>
        <m:r>
          <w:rPr>
            <w:rFonts w:ascii="Cambria Math" w:hAnsi="Cambria Math"/>
          </w:rPr>
          <m:t>i</m:t>
        </m:r>
      </m:oMath>
      <w:r w:rsidRPr="0046787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46787E">
        <w:t xml:space="preserve"> the average of the annual EVI values for the period of reference 2000-2016 (all except year </w:t>
      </w:r>
      <m:oMath>
        <m:r>
          <w:rPr>
            <w:rFonts w:ascii="Cambria Math" w:hAnsi="Cambria Math"/>
          </w:rPr>
          <m:t>i</m:t>
        </m:r>
      </m:oMath>
      <w:r w:rsidRPr="0046787E">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27150A58" w14:textId="77777777"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w:t>
      </w:r>
    </w:p>
    <w:p w14:paraId="6D3A8AD6" w14:textId="77777777" w:rsidR="001220DB" w:rsidRDefault="00FE5229">
      <w:pPr>
        <w:pStyle w:val="Heading3"/>
      </w:pPr>
      <w:bookmarkStart w:id="10" w:name="Xda25cda6a892a31212df9adf2821ed9a29b7ade"/>
      <w:r>
        <w:t xml:space="preserve">Field sampling and </w:t>
      </w:r>
      <w:r w:rsidRPr="003A2AC4">
        <w:rPr>
          <w:color w:val="FF0000"/>
        </w:rPr>
        <w:t>dendro</w:t>
      </w:r>
      <w:r w:rsidR="003A2AC4" w:rsidRPr="003A2AC4">
        <w:rPr>
          <w:color w:val="FF0000"/>
        </w:rPr>
        <w:t>eco</w:t>
      </w:r>
      <w:r w:rsidRPr="003A2AC4">
        <w:rPr>
          <w:color w:val="FF0000"/>
        </w:rPr>
        <w:t>logical</w:t>
      </w:r>
      <w:r>
        <w:t xml:space="preserve"> methods to assess individual tree resilience</w:t>
      </w:r>
      <w:bookmarkEnd w:id="10"/>
    </w:p>
    <w:p w14:paraId="79ED2EC5" w14:textId="77777777" w:rsidR="001220DB" w:rsidRDefault="00FE5229">
      <w:r>
        <w:t xml:space="preserve">Trees were sampled during the autumn of 2016 at two locations in contrasting N-S slopes of Sierra </w:t>
      </w:r>
      <w:r w:rsidRPr="001D3D44">
        <w:rPr>
          <w:highlight w:val="yellow"/>
        </w:rPr>
        <w:t xml:space="preserve">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w:t>
      </w:r>
      <w:r w:rsidRPr="001D3D44">
        <w:rPr>
          <w:highlight w:val="yellow"/>
        </w:rPr>
        <w:lastRenderedPageBreak/>
        <w:t>(Table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1B2845A9" w14:textId="77777777"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7305353D" w14:textId="77777777"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9D864FD" w14:textId="77777777" w:rsidR="001220DB" w:rsidRDefault="00FE5229">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DA71340" w14:textId="77777777" w:rsidR="001220DB" w:rsidRDefault="00FE5229">
      <w:pPr>
        <w:pStyle w:val="Heading3"/>
      </w:pPr>
      <w:bookmarkStart w:id="11" w:name="disturbance-analyses"/>
      <w:r>
        <w:lastRenderedPageBreak/>
        <w:t>Disturbance analyses</w:t>
      </w:r>
      <w:bookmarkEnd w:id="11"/>
    </w:p>
    <w:p w14:paraId="3D9A7A2F" w14:textId="77777777" w:rsidR="001220DB" w:rsidRDefault="00FE5229">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6A4E2155" w14:textId="77777777" w:rsidR="001220DB" w:rsidRDefault="00FE5229">
      <w:pPr>
        <w:pStyle w:val="BodyText"/>
      </w:pPr>
      <w:r w:rsidRPr="0046787E">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261A5ED" w14:textId="77777777" w:rsidR="001220DB" w:rsidRDefault="00FE5229">
      <w:pPr>
        <w:pStyle w:val="Heading3"/>
      </w:pPr>
      <w:bookmarkStart w:id="12" w:name="X871e60eafc1267618a9d0a5127bc38021b56c40"/>
      <w:r>
        <w:t>Assessing ecosystem and tree individual resilience to drought</w:t>
      </w:r>
      <w:bookmarkEnd w:id="12"/>
    </w:p>
    <w:p w14:paraId="07274C18" w14:textId="77777777" w:rsidR="001220DB" w:rsidRDefault="00FE5229">
      <w:r>
        <w:t xml:space="preserve">To evaluate the effects of drought events on ecosystem resilience (using greenness data) and individual </w:t>
      </w:r>
      <w:r w:rsidRPr="0046787E">
        <w:t>tree resilience (using BAI data),</w:t>
      </w:r>
      <w:r>
        <w:t xml:space="preserve"> we used resilience indices proposed by Lloret and others (2011). The Resistance index estimated as the ratio between performance during and before the disturbance (</w:t>
      </w:r>
      <m:oMath>
        <m:r>
          <w:rPr>
            <w:rFonts w:ascii="Cambria Math" w:hAnsi="Cambria Math"/>
            <w:color w:val="FF0000"/>
          </w:rPr>
          <m:t>Resistance</m:t>
        </m:r>
        <m:r>
          <w:rPr>
            <w:rFonts w:ascii="Cambria Math" w:hAnsi="Cambria Math"/>
          </w:rPr>
          <m:t>=Drought:PreDrought</m:t>
        </m:r>
      </m:oMath>
      <w:r>
        <w:t>) quantifies the severity of the impact of the disturbance in the year it occurred. The Recovery index, computed as the ratio between performance after and during disturbance (</w:t>
      </w:r>
      <m:oMath>
        <m:r>
          <w:rPr>
            <w:rFonts w:ascii="Cambria Math" w:hAnsi="Cambria Math"/>
            <w:color w:val="FF0000"/>
          </w:rPr>
          <m:t>Recovery</m:t>
        </m:r>
        <m:r>
          <w:rPr>
            <w:rFonts w:ascii="Cambria Math" w:hAnsi="Cambria Math"/>
          </w:rPr>
          <m:t>=PostDrought:Drought</m:t>
        </m:r>
      </m:oMath>
      <w:r>
        <w:t>), represents the ability to recover from disturbance relative to its severity. Finally, the Resilience index (</w:t>
      </w:r>
      <m:oMath>
        <m:r>
          <w:rPr>
            <w:rFonts w:ascii="Cambria Math" w:hAnsi="Cambria Math"/>
            <w:color w:val="FF0000"/>
          </w:rPr>
          <m:t>Resilience</m:t>
        </m:r>
        <m:r>
          <w:rPr>
            <w:rFonts w:ascii="Cambria Math" w:hAnsi="Cambria Math"/>
          </w:rPr>
          <m:t>=PostDrought:PreDrought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099EE3C7" w14:textId="77777777" w:rsidR="001220DB" w:rsidRDefault="00FE5229">
      <w:pPr>
        <w:pStyle w:val="Heading3"/>
      </w:pPr>
      <w:bookmarkStart w:id="13" w:name="statistical-analysis"/>
      <w:r>
        <w:lastRenderedPageBreak/>
        <w:t>Statistical analysis</w:t>
      </w:r>
      <w:bookmarkEnd w:id="13"/>
    </w:p>
    <w:p w14:paraId="2F94FF78" w14:textId="77777777" w:rsidR="001220DB" w:rsidRDefault="00FE5229">
      <w:r>
        <w:t xml:space="preserve">Relationships between RWI and BAI site chronologies and climatic variables were assessed using bootstrapped Pearson’s correlations estimated using </w:t>
      </w:r>
      <w:r>
        <w:rPr>
          <w:rStyle w:val="VerbatimChar"/>
        </w:rPr>
        <w:t>treeclim</w:t>
      </w:r>
      <w:r>
        <w:t xml:space="preserve"> (Zang and Biondi 2015). 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02195E96" w14:textId="77777777" w:rsidR="001220DB" w:rsidRDefault="00FE5229">
      <w:pPr>
        <w:pStyle w:val="Heading2"/>
      </w:pPr>
      <w:bookmarkStart w:id="14" w:name="results"/>
      <w:r>
        <w:t>Results</w:t>
      </w:r>
      <w:bookmarkEnd w:id="14"/>
    </w:p>
    <w:p w14:paraId="224E589E" w14:textId="77777777" w:rsidR="001220DB" w:rsidRDefault="00FE5229">
      <w:pPr>
        <w:pStyle w:val="Heading3"/>
      </w:pPr>
      <w:bookmarkStart w:id="15" w:name="time-trends-in-vegetation-greenness"/>
      <w:r>
        <w:t>Time trends in vegetation greenness</w:t>
      </w:r>
      <w:bookmarkEnd w:id="15"/>
    </w:p>
    <w:p w14:paraId="32AA5AC0" w14:textId="77777777"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14:paraId="4C684ED1" w14:textId="77777777" w:rsidR="001220DB" w:rsidRDefault="00FE5229">
      <w:pPr>
        <w:pStyle w:val="Heading3"/>
      </w:pPr>
      <w:bookmarkStart w:id="16" w:name="X95ec95a08bd2278f96e504f61d6be87d34a1acc"/>
      <w:r>
        <w:t>Analysis of radial-growth trends and disturbances</w:t>
      </w:r>
      <w:bookmarkEnd w:id="16"/>
    </w:p>
    <w:p w14:paraId="58A48450" w14:textId="099EAA66" w:rsidR="001220DB" w:rsidRDefault="00FE5229">
      <w:r>
        <w:t xml:space="preserve">The trees of the southern population were older than those from the northern one. In addition, trees from the southern population at high elevation were taller and their </w:t>
      </w:r>
      <w:r w:rsidRPr="001D3D44">
        <w:rPr>
          <w:highlight w:val="yellow"/>
        </w:rPr>
        <w:t>growth was significantly faster</w:t>
      </w:r>
      <w:r>
        <w:t xml:space="preserve"> than that of trees from the other two sites, despite the competition measured as plot basal area was greatest in CA-High (Table 1, Figure 3</w:t>
      </w:r>
      <w:r w:rsidR="00F5218B">
        <w:rPr>
          <w:color w:val="FF0000"/>
        </w:rPr>
        <w:t>a</w:t>
      </w:r>
      <w:r>
        <w:t>). The growth and height of trees from the northern and the low-elevation southern population proved similar (Figures 3</w:t>
      </w:r>
      <w:r w:rsidR="00F5218B">
        <w:rPr>
          <w:color w:val="FF0000"/>
        </w:rPr>
        <w:t>a</w:t>
      </w:r>
      <w:r>
        <w:t xml:space="preserve"> and S3a). Only trees from the southern sites (</w:t>
      </w:r>
      <w:r>
        <w:rPr>
          <w:i/>
        </w:rPr>
        <w:t>i.e.</w:t>
      </w:r>
      <w:r>
        <w:t xml:space="preserve"> the wetter exposure) showed significant positive growth trends since the late 1970s (Figure 3</w:t>
      </w:r>
      <w:r w:rsidR="00F5218B">
        <w:rPr>
          <w:color w:val="FF0000"/>
        </w:rPr>
        <w:t>a</w:t>
      </w:r>
      <w:r>
        <w:t>), this trend being far more pronounced for the high elevation, the wetter, colder site (CA-High).</w:t>
      </w:r>
    </w:p>
    <w:p w14:paraId="3A74C97B" w14:textId="77777777" w:rsidR="001220DB" w:rsidRDefault="00FE5229">
      <w:pPr>
        <w:pStyle w:val="BodyText"/>
      </w:pPr>
      <w:r>
        <w:t xml:space="preserve">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w:t>
      </w:r>
      <w:r>
        <w:lastRenderedPageBreak/>
        <w:t>tree-growth reduction than did the northern site (SJ), especially for 2005 and 2012 (Figure S2a), with the weakest growth reductions being in trees from the wettest site (CA-High).</w:t>
      </w:r>
    </w:p>
    <w:p w14:paraId="2D62340C" w14:textId="561D9300" w:rsidR="0046787E" w:rsidRPr="0046787E" w:rsidRDefault="0046787E" w:rsidP="0046787E">
      <w:pPr>
        <w:rPr>
          <w:color w:val="FF0000"/>
        </w:rPr>
      </w:pPr>
      <w:commentRangeStart w:id="17"/>
      <w:r w:rsidRPr="0046787E">
        <w:rPr>
          <w:color w:val="FF0000"/>
        </w:rPr>
        <w:t>The response of tree growth to water availability was greater than to temperatures. Cumulative precipitation of the hydrological year and seasonal SPEI values (</w:t>
      </w:r>
      <w:r w:rsidRPr="0046787E">
        <w:rPr>
          <w:i/>
          <w:color w:val="FF0000"/>
        </w:rPr>
        <w:t>i.e.</w:t>
      </w:r>
      <w:r w:rsidRPr="0046787E">
        <w:rPr>
          <w:color w:val="FF0000"/>
        </w:rPr>
        <w:t xml:space="preserve"> for the Hydrological year, Spring and Summer) were the climatic variables exhibiting the highest (positive) relationship with growth for all populations (Figure </w:t>
      </w:r>
      <w:r w:rsidR="00F5218B">
        <w:rPr>
          <w:color w:val="FF0000"/>
        </w:rPr>
        <w:t>S6</w:t>
      </w:r>
      <w:r w:rsidRPr="0046787E">
        <w:rPr>
          <w:color w:val="FF0000"/>
        </w:rPr>
        <w:t xml:space="preserve">a). Nevertheless, differences appeared between northern and southern populations: the positive relationship with SPEI was highest in the more xeric northern population (r &gt; 0.6 </w:t>
      </w:r>
      <w:r w:rsidRPr="0046787E">
        <w:rPr>
          <w:i/>
          <w:color w:val="FF0000"/>
        </w:rPr>
        <w:t>vs.</w:t>
      </w:r>
      <w:r w:rsidRPr="0046787E">
        <w:rPr>
          <w:color w:val="FF0000"/>
        </w:rPr>
        <w:t xml:space="preserve"> r &lt; 0.5; Figure </w:t>
      </w:r>
      <w:r w:rsidR="00F5218B">
        <w:rPr>
          <w:color w:val="FF0000"/>
        </w:rPr>
        <w:t>S6</w:t>
      </w:r>
      <w:r w:rsidRPr="0046787E">
        <w:rPr>
          <w:color w:val="FF0000"/>
        </w:rPr>
        <w:t xml:space="preserve">a). In addition, the spring maximum temperature was the most significant limitation for tree growth only for the southern populations (Figure </w:t>
      </w:r>
      <w:r w:rsidR="00F5218B">
        <w:rPr>
          <w:color w:val="FF0000"/>
        </w:rPr>
        <w:t>S6</w:t>
      </w:r>
      <w:r w:rsidRPr="0046787E">
        <w:rPr>
          <w:color w:val="FF0000"/>
        </w:rPr>
        <w:t xml:space="preserve">b and </w:t>
      </w:r>
      <w:r w:rsidR="00F5218B">
        <w:rPr>
          <w:color w:val="FF0000"/>
        </w:rPr>
        <w:t>S6</w:t>
      </w:r>
      <w:r w:rsidRPr="0046787E">
        <w:rPr>
          <w:color w:val="FF0000"/>
        </w:rPr>
        <w:t>c), whereas minimum and maximum temperatures of the current September positively influenced tree growth only in the northern population.</w:t>
      </w:r>
      <w:commentRangeEnd w:id="17"/>
      <w:r>
        <w:rPr>
          <w:rStyle w:val="CommentReference"/>
          <w:rFonts w:ascii="Times New Roman" w:eastAsia="Times New Roman" w:hAnsi="Times New Roman" w:cs="Times New Roman"/>
          <w:lang w:val="es-ES" w:eastAsia="en-GB"/>
        </w:rPr>
        <w:commentReference w:id="17"/>
      </w:r>
    </w:p>
    <w:p w14:paraId="2B738B53" w14:textId="1144CE5F" w:rsidR="001220DB" w:rsidRDefault="00FE5229">
      <w:pPr>
        <w:pStyle w:val="BodyText"/>
      </w:pPr>
      <w:r>
        <w:t xml:space="preserve">The northern site (SJ) showed two major release events (GC &gt; 50% occurring in more than 50% of trees sampled): the first during the 1940s (the most evident) and the second in 1995-2000 (Figure </w:t>
      </w:r>
      <w:r w:rsidR="00F5218B" w:rsidRPr="00F5218B">
        <w:rPr>
          <w:color w:val="FF0000"/>
        </w:rPr>
        <w:t>3b</w:t>
      </w:r>
      <w:r>
        <w:t>). These periods alternated with periods of suppression. By contrast, the two southern sites showed no release events except for CA-High at the beginning of the 1830s and no suppression events in the last 50 years.</w:t>
      </w:r>
    </w:p>
    <w:p w14:paraId="0AB4B643" w14:textId="77777777" w:rsidR="001220DB" w:rsidRDefault="00FE5229">
      <w:pPr>
        <w:pStyle w:val="Heading3"/>
      </w:pPr>
      <w:bookmarkStart w:id="18" w:name="Xd52b5e61661bccae436cc017c60df764c7d669f"/>
      <w:r>
        <w:t>Resilience to drought events at the ecosystem and individual-tree levels</w:t>
      </w:r>
      <w:bookmarkEnd w:id="18"/>
    </w:p>
    <w:p w14:paraId="51C0EA47" w14:textId="2818E3A5" w:rsidR="001220DB" w:rsidRDefault="00FE5229">
      <w:r w:rsidRPr="0046787E">
        <w:rPr>
          <w:iCs/>
          <w:color w:val="FF0000"/>
        </w:rPr>
        <w:t>R</w:t>
      </w:r>
      <w:r w:rsidR="00EC07C2" w:rsidRPr="0046787E">
        <w:rPr>
          <w:iCs/>
          <w:color w:val="FF0000"/>
        </w:rPr>
        <w:t>esilience</w:t>
      </w:r>
      <w:r w:rsidR="00EC07C2" w:rsidRPr="0046787E">
        <w:rPr>
          <w:i/>
        </w:rPr>
        <w:t xml:space="preserve"> </w:t>
      </w:r>
      <w:r w:rsidRPr="0046787E">
        <w:t xml:space="preserve">and </w:t>
      </w:r>
      <w:r w:rsidR="00EC07C2" w:rsidRPr="0046787E">
        <w:rPr>
          <w:iCs/>
          <w:color w:val="FF0000"/>
        </w:rPr>
        <w:t>resistance</w:t>
      </w:r>
      <w:r w:rsidRPr="0046787E">
        <w:t xml:space="preserve"> varied in the same direction whereas </w:t>
      </w:r>
      <w:r w:rsidR="00EC07C2" w:rsidRPr="0046787E">
        <w:rPr>
          <w:iCs/>
          <w:color w:val="FF0000"/>
        </w:rPr>
        <w:t>recovery</w:t>
      </w:r>
      <w:r w:rsidR="00EC07C2" w:rsidRPr="0046787E">
        <w:t xml:space="preserve"> </w:t>
      </w:r>
      <w:r w:rsidRPr="0046787E">
        <w:t xml:space="preserve">varied inversely to </w:t>
      </w:r>
      <w:r w:rsidR="00EC07C2" w:rsidRPr="0046787E">
        <w:rPr>
          <w:iCs/>
          <w:color w:val="FF0000"/>
        </w:rPr>
        <w:t>resilience</w:t>
      </w:r>
      <w:r w:rsidR="00EC07C2" w:rsidRPr="0046787E">
        <w:t xml:space="preserve"> </w:t>
      </w:r>
      <w:r w:rsidRPr="0046787E">
        <w:t xml:space="preserve"> and </w:t>
      </w:r>
      <w:r w:rsidR="00EC07C2" w:rsidRPr="0046787E">
        <w:rPr>
          <w:iCs/>
          <w:color w:val="FF0000"/>
        </w:rPr>
        <w:t>resistance</w:t>
      </w:r>
      <w:r w:rsidR="002515D7">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sidR="00EC07C2" w:rsidRPr="00EC07C2">
        <w:rPr>
          <w:iCs/>
          <w:color w:val="FF0000"/>
        </w:rPr>
        <w:t>recovery</w:t>
      </w:r>
      <w:r>
        <w:t xml:space="preserve">, significant for all oak populations (Figure </w:t>
      </w:r>
      <w:r w:rsidR="00F5218B" w:rsidRPr="00F5218B">
        <w:rPr>
          <w:color w:val="FF0000"/>
        </w:rPr>
        <w:t>4a</w:t>
      </w:r>
      <w:r>
        <w:t xml:space="preserve">). A similar pattern was found for </w:t>
      </w:r>
      <w:r w:rsidR="00EC07C2" w:rsidRPr="00EC07C2">
        <w:rPr>
          <w:iCs/>
          <w:color w:val="FF0000"/>
        </w:rPr>
        <w:t>resilience</w:t>
      </w:r>
      <w:r>
        <w:t xml:space="preserve"> but proved significant only for SJ. Importantly, non-significant patterns resulted when we excluded 1995, except for </w:t>
      </w:r>
      <w:r w:rsidR="00EC07C2" w:rsidRPr="00EC07C2">
        <w:rPr>
          <w:iCs/>
          <w:color w:val="FF0000"/>
        </w:rPr>
        <w:t>recovery</w:t>
      </w:r>
      <w:r w:rsidR="00EC07C2">
        <w:t xml:space="preserve"> </w:t>
      </w:r>
      <w:r>
        <w:t xml:space="preserve">in SJ (Figure S5). The trees showed the highest value of tree-growth resilience for 1995, the worst drought event in our study area, particularly SJ where our results suggest a major release event also after 1995 (Figure </w:t>
      </w:r>
      <w:r w:rsidR="00F5218B" w:rsidRPr="00F5218B">
        <w:rPr>
          <w:color w:val="FF0000"/>
        </w:rPr>
        <w:t>3b</w:t>
      </w:r>
      <w:r>
        <w:t>).</w:t>
      </w:r>
    </w:p>
    <w:p w14:paraId="70E879A3" w14:textId="0A90DAFA" w:rsidR="001220DB" w:rsidRDefault="00FE5229">
      <w:pPr>
        <w:pStyle w:val="BodyText"/>
      </w:pPr>
      <w:r w:rsidRPr="004F4ECC">
        <w:rPr>
          <w:highlight w:val="green"/>
        </w:rPr>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w:t>
      </w:r>
      <w:r w:rsidR="00F5218B">
        <w:rPr>
          <w:color w:val="FF0000"/>
        </w:rPr>
        <w:t>4b</w:t>
      </w:r>
      <w:r>
        <w:t>). Thus, recovery values for greenness were higher for 2005 than for the 2012 drought event. Recovery showed a contrasting pattern for EVI and tree growth.</w:t>
      </w:r>
    </w:p>
    <w:p w14:paraId="218F45DF" w14:textId="77777777"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107845F8" w14:textId="77777777" w:rsidR="001220DB" w:rsidRDefault="00FE5229">
      <w:pPr>
        <w:pStyle w:val="Heading2"/>
      </w:pPr>
      <w:bookmarkStart w:id="19" w:name="discussion"/>
      <w:r>
        <w:lastRenderedPageBreak/>
        <w:t>Discussion</w:t>
      </w:r>
      <w:bookmarkEnd w:id="19"/>
    </w:p>
    <w:p w14:paraId="7120F948" w14:textId="77777777" w:rsidR="001220DB" w:rsidRDefault="00FE5229">
      <w:r>
        <w:t xml:space="preserve">By using a combined approach of remote-sensing information and </w:t>
      </w:r>
      <w:r w:rsidRPr="003A2AC4">
        <w:rPr>
          <w:color w:val="FF0000"/>
        </w:rPr>
        <w:t>dendro</w:t>
      </w:r>
      <w:r w:rsidR="003A2AC4" w:rsidRPr="003A2AC4">
        <w:rPr>
          <w:color w:val="FF0000"/>
        </w:rPr>
        <w:t>ec</w:t>
      </w:r>
      <w:r w:rsidRPr="003A2AC4">
        <w:rPr>
          <w:color w:val="FF0000"/>
        </w:rPr>
        <w:t>ology</w:t>
      </w:r>
      <w:r>
        <w:t xml:space="preserve">, we have quantified the drought impact on the </w:t>
      </w:r>
      <w:r>
        <w:rPr>
          <w:i/>
        </w:rPr>
        <w:t>Quercus pyrenaica</w:t>
      </w:r>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19083638" w14:textId="77777777" w:rsidR="001220DB" w:rsidRDefault="00FE5229">
      <w:pPr>
        <w:pStyle w:val="Heading3"/>
      </w:pPr>
      <w:bookmarkStart w:id="20" w:name="X3ee3e54e26e1befcd3da00795e9bed32802b27b"/>
      <w:r>
        <w:t>Land-use legacies shape sensitivity to climate change of forests and the present rear edge</w:t>
      </w:r>
      <w:bookmarkEnd w:id="20"/>
    </w:p>
    <w:p w14:paraId="6B14CDF2" w14:textId="77777777" w:rsidR="001220DB" w:rsidRDefault="00FE5229">
      <w:r w:rsidRPr="00505C27">
        <w:rPr>
          <w:highlight w:val="green"/>
        </w:rPr>
        <w:t xml:space="preserve">The review of historical documents revealed that forest clearings, firewood removal, charcoal making, and mining have strongly affected the forests on Sierra Nevada (Table S4), where an estimated historical loss of broadleaf </w:t>
      </w:r>
      <w:r w:rsidRPr="00505C27">
        <w:rPr>
          <w:i/>
          <w:highlight w:val="green"/>
        </w:rPr>
        <w:t>Quercus</w:t>
      </w:r>
      <w:r w:rsidRPr="00505C27">
        <w:rPr>
          <w:highlight w:val="green"/>
        </w:rPr>
        <w:t xml:space="preserve"> species approaches 90% of the cover at medium and low elevations (Jiménez-Olivencia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w:t>
      </w:r>
      <w:r w:rsidRPr="001D3D44">
        <w:rPr>
          <w:highlight w:val="yellow"/>
        </w:rPr>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182DA152" w14:textId="77777777"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t>
      </w:r>
      <w:r>
        <w:lastRenderedPageBreak/>
        <w:t>woodlands (Cañellas and others 2004; Gea-Izquierdo and others 2011) and which has been documented for this site (Valbuena-Carabaña and Gil 2013).</w:t>
      </w:r>
    </w:p>
    <w:p w14:paraId="2992898D" w14:textId="356E66D3" w:rsidR="001220DB" w:rsidRDefault="00FE5229">
      <w:pPr>
        <w:pStyle w:val="BodyText"/>
      </w:pPr>
      <w:r>
        <w:t xml:space="preserve">The other release event observed for the SJ site during the period 1995-2000 was lower than during 1940, but also affected most trees (Figures </w:t>
      </w:r>
      <w:r w:rsidR="00F5218B" w:rsidRPr="00F5218B">
        <w:rPr>
          <w:color w:val="FF0000"/>
        </w:rPr>
        <w:t>3b</w:t>
      </w:r>
      <w:r>
        <w:t xml:space="preserve">,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strong positive correlations of SPEI with tree growth for this site show high sensitivity to water availability (Gea-Izquierdo and Cañellas 2014).</w:t>
      </w:r>
    </w:p>
    <w:p w14:paraId="75B3B9FD" w14:textId="77777777" w:rsidR="001220DB" w:rsidRDefault="00FE5229">
      <w:pPr>
        <w:pStyle w:val="Heading3"/>
      </w:pPr>
      <w:bookmarkStart w:id="21" w:name="X3c3becee9e4b19b875b7ef5c4a57c661a94a2a8"/>
      <w:r>
        <w:t>Sensitivity (resistance) of relict oaks to recent drought events</w:t>
      </w:r>
      <w:bookmarkEnd w:id="21"/>
    </w:p>
    <w:p w14:paraId="0AF321F7" w14:textId="77777777" w:rsidR="001220DB" w:rsidRDefault="00FE5229">
      <w:r>
        <w:t xml:space="preserve">Severe drought negatively affects both primary and secondary growth of </w:t>
      </w:r>
      <w:r>
        <w:rPr>
          <w:i/>
        </w:rPr>
        <w:t>Quercus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radial growth of </w:t>
      </w:r>
      <w:r>
        <w:rPr>
          <w:i/>
        </w:rPr>
        <w:t>Quercus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p>
    <w:p w14:paraId="2C6AA85E" w14:textId="77777777"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14:paraId="12C9FB5D" w14:textId="7C9B7F49" w:rsidR="001220DB" w:rsidRDefault="00FE5229">
      <w:pPr>
        <w:pStyle w:val="BodyText"/>
      </w:pPr>
      <w:r>
        <w:t xml:space="preserve">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w:t>
      </w:r>
      <w:r>
        <w:lastRenderedPageBreak/>
        <w:t>SPEI (hydrological year and summer) in 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Babst and others 2013), particularly for rear-edge populations (Cavin and Jump 2017; Dorado-Liñán and others 2017b). Trees at CA-High registered higher BAI than those located at lower elevations (CA-Low and SJ; Figure </w:t>
      </w:r>
      <w:r w:rsidR="00F5218B" w:rsidRPr="00F5218B">
        <w:rPr>
          <w:color w:val="FF0000"/>
        </w:rPr>
        <w:t>3a</w:t>
      </w:r>
      <w:r>
        <w:t>). This shows the high variability in the response to climate exhibited along a narrow gradient, which is especially noteworthy for southern sites, as these lie close to each other and overall both are considered to constitute the rear edge for the species.</w:t>
      </w:r>
    </w:p>
    <w:p w14:paraId="69BCD0C3" w14:textId="77777777" w:rsidR="001220DB" w:rsidRDefault="00FE5229">
      <w:pPr>
        <w:pStyle w:val="Heading3"/>
      </w:pPr>
      <w:bookmarkStart w:id="22" w:name="X22c315028d949cc3db9f78c0898d38ebc66ba75"/>
      <w:r>
        <w:t>Relict oaks show high resilience to recent drought events and long-term climatic variability</w:t>
      </w:r>
      <w:bookmarkEnd w:id="22"/>
    </w:p>
    <w:p w14:paraId="0BA1A89A" w14:textId="618DDCAD" w:rsidR="001220DB" w:rsidRDefault="00FE5229">
      <w:r>
        <w:t xml:space="preserve">Despite the severe drought events in recent decades (Table S3), we found a positive trend for vegetation greenness of </w:t>
      </w:r>
      <w:r>
        <w:rPr>
          <w:i/>
        </w:rPr>
        <w:t>Quercus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w:t>
      </w:r>
      <w:r w:rsidR="00F5218B" w:rsidRPr="00F5218B">
        <w:rPr>
          <w:color w:val="FF0000"/>
        </w:rPr>
        <w:t>3a</w:t>
      </w:r>
      <w:r>
        <w:t>).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14:paraId="53CDD4AA" w14:textId="48CF46FE" w:rsidR="001220DB" w:rsidRDefault="00FE5229">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w:t>
      </w:r>
      <w:bookmarkStart w:id="23" w:name="_GoBack"/>
      <w:r>
        <w:t>Fig</w:t>
      </w:r>
      <w:bookmarkEnd w:id="23"/>
      <w:r>
        <w:t xml:space="preserve">ure </w:t>
      </w:r>
      <w:r w:rsidR="00F5218B" w:rsidRPr="00F5218B">
        <w:rPr>
          <w:color w:val="FF0000"/>
        </w:rPr>
        <w:t>4a</w:t>
      </w:r>
      <w:r>
        <w:t>).</w:t>
      </w:r>
    </w:p>
    <w:p w14:paraId="1A646ADB" w14:textId="77777777" w:rsidR="001220DB" w:rsidRDefault="00FE5229">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w:t>
      </w:r>
      <w:r>
        <w:lastRenderedPageBreak/>
        <w:t>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19641905" w14:textId="77777777" w:rsidR="001220DB" w:rsidRDefault="00FE5229">
      <w:pPr>
        <w:pStyle w:val="BodyText"/>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p>
    <w:p w14:paraId="302096E8" w14:textId="77777777"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geographical rear edge studied. </w:t>
      </w:r>
      <w:r w:rsidRPr="001D3D44">
        <w:rPr>
          <w:highlight w:val="yellow"/>
        </w:rPr>
        <w:t>This suggests that the rear edge therefore needs to be redefined (Vilà-Cabrera and others 2019</w:t>
      </w:r>
      <w:r>
        <w:t>),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6D49FDB2" w14:textId="77777777" w:rsidR="001220DB" w:rsidRDefault="00FE5229">
      <w:pPr>
        <w:pStyle w:val="BodyText"/>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4A969771" w14:textId="77777777" w:rsidR="001220DB" w:rsidRDefault="00FE5229">
      <w:pPr>
        <w:pStyle w:val="Heading2"/>
      </w:pPr>
      <w:bookmarkStart w:id="24" w:name="concluding-comments"/>
      <w:r>
        <w:t>Concluding comments</w:t>
      </w:r>
      <w:bookmarkEnd w:id="24"/>
    </w:p>
    <w:p w14:paraId="0E3C949C" w14:textId="77777777" w:rsidR="001220DB" w:rsidRDefault="00FE5229">
      <w:r w:rsidRPr="00505C27">
        <w:rPr>
          <w:highlight w:val="green"/>
        </w:rPr>
        <w:t>The ecological and geographical rear edges did not appear to fully match in our study.</w:t>
      </w:r>
      <w:r>
        <w:t xml:space="preserve"> Severe drought events provoke major reductions in primary and secondary growth of </w:t>
      </w:r>
      <w:r>
        <w:rPr>
          <w:i/>
        </w:rPr>
        <w:t>Quercus pyrenaica</w:t>
      </w:r>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w:t>
      </w:r>
      <w:r>
        <w:lastRenderedPageBreak/>
        <w:t xml:space="preserve">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14:paraId="451DCDE2" w14:textId="77777777" w:rsidR="001220DB" w:rsidRDefault="00FE5229">
      <w:pPr>
        <w:pStyle w:val="Heading2"/>
      </w:pPr>
      <w:bookmarkStart w:id="25" w:name="acknowledgements"/>
      <w:r>
        <w:t>Acknowledgements</w:t>
      </w:r>
      <w:bookmarkEnd w:id="25"/>
    </w:p>
    <w:p w14:paraId="23702D32" w14:textId="77777777" w:rsidR="001220DB" w:rsidRDefault="00FE5229">
      <w:r>
        <w:t>We would like to thank to Sammy L. Behle, F.J. Bonet, and M. Suárez-Muñoz for field assistance. A. Reyes</w:t>
      </w:r>
      <w:r w:rsidR="00611F54">
        <w:t xml:space="preserve"> (</w:t>
      </w:r>
      <w:r w:rsidR="00611F54" w:rsidRPr="00611F54">
        <w:rPr>
          <w:i/>
          <w:iCs/>
          <w:color w:val="FF0000"/>
        </w:rPr>
        <w:t>In memoriam</w:t>
      </w:r>
      <w:r w:rsidR="00611F54">
        <w:t>)</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2182A5B1" w14:textId="77777777" w:rsidR="001220DB" w:rsidRDefault="00FE5229">
      <w:pPr>
        <w:pStyle w:val="Heading2"/>
      </w:pPr>
      <w:bookmarkStart w:id="26" w:name="references"/>
      <w:r>
        <w:t>References</w:t>
      </w:r>
      <w:bookmarkEnd w:id="26"/>
    </w:p>
    <w:p w14:paraId="2C1B3891" w14:textId="77777777" w:rsidR="001220DB" w:rsidRDefault="00FE5229">
      <w:pPr>
        <w:pStyle w:val="Bibliography"/>
      </w:pPr>
      <w:bookmarkStart w:id="27" w:name="ref-Abeli2014"/>
      <w:bookmarkStart w:id="28" w:name="refs"/>
      <w:r>
        <w:t xml:space="preserve">Abeli T, Gentili R, Mondoni A, Orsenigo S, Rossi G. 2014. Effects of marginality on plant population performance. Burns KC, editor. Journal of Biogeography 41:239–49. </w:t>
      </w:r>
      <w:hyperlink r:id="rId14">
        <w:r>
          <w:rPr>
            <w:rStyle w:val="Hyperlink"/>
          </w:rPr>
          <w:t>https://doi.org/10.1111/jbi.12215</w:t>
        </w:r>
      </w:hyperlink>
    </w:p>
    <w:p w14:paraId="2B55CE2C" w14:textId="77777777" w:rsidR="001220DB" w:rsidRDefault="00FE5229">
      <w:pPr>
        <w:pStyle w:val="Bibliography"/>
      </w:pPr>
      <w:bookmarkStart w:id="29" w:name="ref-Allen2010"/>
      <w:bookmarkEnd w:id="27"/>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15D32A01" w14:textId="77777777" w:rsidR="001220DB" w:rsidRDefault="00FE5229">
      <w:pPr>
        <w:pStyle w:val="Bibliography"/>
      </w:pPr>
      <w:bookmarkStart w:id="30" w:name="ref-Babst2017"/>
      <w:bookmarkEnd w:id="29"/>
      <w:r>
        <w:lastRenderedPageBreak/>
        <w:t>Babst F, Poulter B, Bodesheim P, Mahecha M, C Frank D. 2017. Improved tree-ring archives will support earth-system science. Nature Ecology and Evolution 1:1–2.</w:t>
      </w:r>
    </w:p>
    <w:p w14:paraId="60FF2ECB" w14:textId="77777777" w:rsidR="001220DB" w:rsidRDefault="00FE5229">
      <w:pPr>
        <w:pStyle w:val="Bibliography"/>
      </w:pPr>
      <w:bookmarkStart w:id="31" w:name="ref-Babst2013"/>
      <w:bookmarkEnd w:id="30"/>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38B3180F" w14:textId="77777777" w:rsidR="001220DB" w:rsidRDefault="00FE5229">
      <w:pPr>
        <w:pStyle w:val="Bibliography"/>
      </w:pPr>
      <w:bookmarkStart w:id="32" w:name="ref-Bellingham2000"/>
      <w:bookmarkEnd w:id="31"/>
      <w:r>
        <w:t>Bellingham PJ, Sparrow AD. 2000. Resprouting as a life history strategy in woody plant communities. Oikos 89:409–16.</w:t>
      </w:r>
    </w:p>
    <w:p w14:paraId="49AECA05" w14:textId="77777777" w:rsidR="001220DB" w:rsidRDefault="00FE5229">
      <w:pPr>
        <w:pStyle w:val="Bibliography"/>
      </w:pPr>
      <w:bookmarkStart w:id="33" w:name="ref-Bhuyan2017"/>
      <w:bookmarkEnd w:id="32"/>
      <w:r>
        <w:t>Bhuyan U, Zang C, Menzel A. 2017. Different responses of multispecies tree ring growth to various drought indices across Europe. Dendrochronologia 44:1–8.</w:t>
      </w:r>
    </w:p>
    <w:p w14:paraId="51890219" w14:textId="77777777" w:rsidR="001220DB" w:rsidRDefault="00FE5229">
      <w:pPr>
        <w:pStyle w:val="Bibliography"/>
      </w:pPr>
      <w:bookmarkStart w:id="34" w:name="ref-Biondi2008"/>
      <w:bookmarkEnd w:id="33"/>
      <w:r>
        <w:t>Biondi F, Qeadan F. 2008. A theory-driven approach to tree-ring standardization: Defining the biological trend from expected basal area increment. Tree-Ring Research 64:81–96.</w:t>
      </w:r>
    </w:p>
    <w:p w14:paraId="10226296" w14:textId="77777777" w:rsidR="001220DB" w:rsidRDefault="00FE5229">
      <w:pPr>
        <w:pStyle w:val="Bibliography"/>
      </w:pPr>
      <w:bookmarkStart w:id="35" w:name="ref-Bonet2016obsnev_forest"/>
      <w:bookmarkEnd w:id="34"/>
      <w:r>
        <w:t xml:space="preserve">Bonet FJ, Aspizua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14:paraId="122CBE61" w14:textId="77777777" w:rsidR="001220DB" w:rsidRPr="004130EB" w:rsidRDefault="00FE5229">
      <w:pPr>
        <w:pStyle w:val="Bibliography"/>
        <w:rPr>
          <w:lang w:val="es-ES"/>
        </w:rPr>
      </w:pPr>
      <w:bookmarkStart w:id="36" w:name="ref-Bunn2010"/>
      <w:bookmarkEnd w:id="35"/>
      <w:r>
        <w:t xml:space="preserve">Bunn AG. 2010. Statistical and visual crossdating in r using the dplR library. </w:t>
      </w:r>
      <w:proofErr w:type="spellStart"/>
      <w:r w:rsidRPr="004130EB">
        <w:rPr>
          <w:lang w:val="es-ES"/>
        </w:rPr>
        <w:t>Dendrochronologia</w:t>
      </w:r>
      <w:proofErr w:type="spellEnd"/>
      <w:r w:rsidRPr="004130EB">
        <w:rPr>
          <w:lang w:val="es-ES"/>
        </w:rPr>
        <w:t xml:space="preserve"> 28:251–8.</w:t>
      </w:r>
    </w:p>
    <w:p w14:paraId="59905751" w14:textId="77777777" w:rsidR="001220DB" w:rsidRPr="004130EB" w:rsidRDefault="00FE5229">
      <w:pPr>
        <w:pStyle w:val="Bibliography"/>
        <w:rPr>
          <w:lang w:val="es-ES"/>
        </w:rPr>
      </w:pPr>
      <w:bookmarkStart w:id="37" w:name="ref-CamachoOlmedo2002"/>
      <w:bookmarkEnd w:id="36"/>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14:paraId="1172B497" w14:textId="77777777" w:rsidR="001220DB" w:rsidRPr="004130EB" w:rsidRDefault="00FE5229">
      <w:pPr>
        <w:pStyle w:val="Bibliography"/>
        <w:rPr>
          <w:lang w:val="es-ES"/>
        </w:rPr>
      </w:pPr>
      <w:bookmarkStart w:id="38" w:name="ref-Camarero2015b"/>
      <w:bookmarkEnd w:id="37"/>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14:paraId="7886C97D" w14:textId="77777777" w:rsidR="001220DB" w:rsidRDefault="00FE5229">
      <w:pPr>
        <w:pStyle w:val="Bibliography"/>
      </w:pPr>
      <w:bookmarkStart w:id="39" w:name="ref-Camarero2015"/>
      <w:bookmarkEnd w:id="38"/>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14:paraId="65ECA8EF" w14:textId="77777777" w:rsidR="001220DB" w:rsidRDefault="00FE5229">
      <w:pPr>
        <w:pStyle w:val="Bibliography"/>
      </w:pPr>
      <w:bookmarkStart w:id="40" w:name="ref-Canellas2004"/>
      <w:bookmarkEnd w:id="39"/>
      <w:r>
        <w:t>Cañellas I, Del Río M, Roig S, Montero G. 2004. Growth response to thinning in quercus pyrenaica willd. Coppice stands in spanish central mountain. Annals of Forest Sciences 61:243–50.</w:t>
      </w:r>
    </w:p>
    <w:p w14:paraId="4319C1A6" w14:textId="77777777" w:rsidR="001220DB" w:rsidRDefault="00FE5229">
      <w:pPr>
        <w:pStyle w:val="Bibliography"/>
      </w:pPr>
      <w:bookmarkStart w:id="41" w:name="ref-Castro2004"/>
      <w:bookmarkEnd w:id="40"/>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(pinus sylvestris) at its southernmost distribution limit: Consequences of being in a marginal mediterranean habitat. Journal of Ecology 92:266–77.</w:t>
      </w:r>
    </w:p>
    <w:p w14:paraId="4E26DB90" w14:textId="77777777" w:rsidR="001220DB" w:rsidRPr="004130EB" w:rsidRDefault="00FE5229">
      <w:pPr>
        <w:pStyle w:val="Bibliography"/>
        <w:rPr>
          <w:lang w:val="es-ES"/>
        </w:rPr>
      </w:pPr>
      <w:bookmarkStart w:id="42" w:name="ref-Cavin2017"/>
      <w:bookmarkEnd w:id="41"/>
      <w:r>
        <w:lastRenderedPageBreak/>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14:paraId="43C2107C" w14:textId="77777777" w:rsidR="001220DB" w:rsidRDefault="00FE5229">
      <w:pPr>
        <w:pStyle w:val="Bibliography"/>
      </w:pPr>
      <w:bookmarkStart w:id="43" w:name="ref-Corcuera2006"/>
      <w:bookmarkEnd w:id="42"/>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Radial-growth and wood-anatomical changes in overaged quercus pyrenaica coppice stands: Functional responses in a new mediterranean landscape. Trees 20:91–8.</w:t>
      </w:r>
    </w:p>
    <w:p w14:paraId="06FF317A" w14:textId="77777777" w:rsidR="001220DB" w:rsidRDefault="00FE5229">
      <w:pPr>
        <w:pStyle w:val="Bibliography"/>
      </w:pPr>
      <w:bookmarkStart w:id="44" w:name="ref-Coulthard2017"/>
      <w:bookmarkEnd w:id="43"/>
      <w:r>
        <w:t>Coulthard BL, Touchan R, Anchukaitis KJ, Meko DM, Sivrikaya F. 2017. Tree growth and vegetation activity at the ecosystem-scale in the eastern Mediterranean. Environmental Research Letters 12:084008.</w:t>
      </w:r>
    </w:p>
    <w:p w14:paraId="0719D34A" w14:textId="77777777" w:rsidR="001220DB" w:rsidRPr="004130EB" w:rsidRDefault="00FE5229">
      <w:pPr>
        <w:pStyle w:val="Bibliography"/>
        <w:rPr>
          <w:lang w:val="es-ES"/>
        </w:rPr>
      </w:pPr>
      <w:bookmarkStart w:id="45" w:name="ref-DiFilippo2010"/>
      <w:bookmarkEnd w:id="44"/>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5">
        <w:r w:rsidRPr="004130EB">
          <w:rPr>
            <w:rStyle w:val="Hyperlink"/>
            <w:lang w:val="es-ES"/>
          </w:rPr>
          <w:t>https://doi.org/10.1051/forest/2010031</w:t>
        </w:r>
      </w:hyperlink>
    </w:p>
    <w:p w14:paraId="04CB79AE" w14:textId="77777777" w:rsidR="001220DB" w:rsidRPr="004130EB" w:rsidRDefault="00FE5229">
      <w:pPr>
        <w:pStyle w:val="Bibliography"/>
        <w:rPr>
          <w:lang w:val="es-ES"/>
        </w:rPr>
      </w:pPr>
      <w:bookmarkStart w:id="46" w:name="ref-DoblasMiranda2017"/>
      <w:bookmarkEnd w:id="45"/>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14:paraId="0D07B9BE" w14:textId="77777777" w:rsidR="001220DB" w:rsidRPr="004130EB" w:rsidRDefault="00FE5229">
      <w:pPr>
        <w:pStyle w:val="Bibliography"/>
        <w:rPr>
          <w:lang w:val="es-ES"/>
        </w:rPr>
      </w:pPr>
      <w:bookmarkStart w:id="47" w:name="ref-Dorado2017"/>
      <w:bookmarkEnd w:id="46"/>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14:paraId="7C6D63F8" w14:textId="77777777" w:rsidR="001220DB" w:rsidRDefault="00FE5229">
      <w:pPr>
        <w:pStyle w:val="Bibliography"/>
      </w:pPr>
      <w:bookmarkStart w:id="48" w:name="ref-Dorado2017AFM"/>
      <w:bookmarkEnd w:id="47"/>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14:paraId="0BA118E8" w14:textId="77777777" w:rsidR="001220DB" w:rsidRDefault="00FE5229">
      <w:pPr>
        <w:pStyle w:val="Bibliography"/>
      </w:pPr>
      <w:bookmarkStart w:id="49" w:name="ref-Fatichi2014"/>
      <w:bookmarkEnd w:id="48"/>
      <w:r>
        <w:t>Fatichi S, Leuzinger S, Körner C. 2014. Moving beyond photosynthesis: From carbon source to sink-driven vegetation modeling. New Phytologist 201:1086–95.</w:t>
      </w:r>
    </w:p>
    <w:p w14:paraId="3E4540D7" w14:textId="77777777" w:rsidR="001220DB" w:rsidRPr="004130EB" w:rsidRDefault="00FE5229">
      <w:pPr>
        <w:pStyle w:val="Bibliography"/>
        <w:rPr>
          <w:lang w:val="es-ES"/>
        </w:rPr>
      </w:pPr>
      <w:bookmarkStart w:id="50" w:name="ref-Franco1990"/>
      <w:bookmarkEnd w:id="49"/>
      <w:r>
        <w:t xml:space="preserve">Franco A. 1990. </w:t>
      </w:r>
      <w:r>
        <w:rPr>
          <w:i/>
        </w:rPr>
        <w:t>Quercus</w:t>
      </w:r>
      <w:r>
        <w:t xml:space="preserve"> L. In: Castroviejo A, Laínz M, López-González G, Montserrat P, Muñoz-Garmendia F, Paiva J, Villar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14:paraId="01D559AB" w14:textId="77777777" w:rsidR="001220DB" w:rsidRDefault="00FE5229">
      <w:pPr>
        <w:pStyle w:val="Bibliography"/>
      </w:pPr>
      <w:bookmarkStart w:id="51" w:name="ref-Fritts1976"/>
      <w:bookmarkEnd w:id="50"/>
      <w:proofErr w:type="spellStart"/>
      <w:r w:rsidRPr="004130EB">
        <w:rPr>
          <w:lang w:val="es-ES"/>
        </w:rPr>
        <w:t>Fritts</w:t>
      </w:r>
      <w:proofErr w:type="spellEnd"/>
      <w:r w:rsidRPr="004130EB">
        <w:rPr>
          <w:lang w:val="es-ES"/>
        </w:rPr>
        <w:t xml:space="preserve"> HC. 1976. </w:t>
      </w:r>
      <w:r>
        <w:t>Tree rings and climate. London: Academic Press</w:t>
      </w:r>
    </w:p>
    <w:p w14:paraId="70DD9543" w14:textId="77777777" w:rsidR="001220DB" w:rsidRPr="004130EB" w:rsidRDefault="00FE5229">
      <w:pPr>
        <w:pStyle w:val="Bibliography"/>
        <w:rPr>
          <w:lang w:val="es-ES"/>
        </w:rPr>
      </w:pPr>
      <w:bookmarkStart w:id="52" w:name="ref-GarciaGonzalez2017"/>
      <w:bookmarkEnd w:id="51"/>
      <w:r w:rsidRPr="004130EB">
        <w:rPr>
          <w:lang w:val="es-ES"/>
        </w:rPr>
        <w:lastRenderedPageBreak/>
        <w:t xml:space="preserve">García-González I, </w:t>
      </w:r>
      <w:proofErr w:type="spellStart"/>
      <w:r w:rsidRPr="004130EB">
        <w:rPr>
          <w:lang w:val="es-ES"/>
        </w:rPr>
        <w:t>Souto</w:t>
      </w:r>
      <w:proofErr w:type="spellEnd"/>
      <w:r w:rsidRPr="004130EB">
        <w:rPr>
          <w:lang w:val="es-ES"/>
        </w:rPr>
        <w:t xml:space="preserve">-Herrero M. 2017. </w:t>
      </w:r>
      <w:r>
        <w:t xml:space="preserve">Earlywood vessel area of </w:t>
      </w:r>
      <w:r>
        <w:rPr>
          <w:i/>
        </w:rPr>
        <w:t>Quercus pyrenaica</w:t>
      </w:r>
      <w:r>
        <w:t xml:space="preserve"> Willd.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14:paraId="7FB4289E" w14:textId="77777777" w:rsidR="001220DB" w:rsidRDefault="00FE5229">
      <w:pPr>
        <w:pStyle w:val="Bibliography"/>
      </w:pPr>
      <w:bookmarkStart w:id="53" w:name="ref-Gazol2018"/>
      <w:bookmarkEnd w:id="52"/>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14:paraId="3D87414A" w14:textId="77777777" w:rsidR="001220DB" w:rsidRDefault="00FE5229">
      <w:pPr>
        <w:pStyle w:val="Bibliography"/>
      </w:pPr>
      <w:bookmarkStart w:id="54" w:name="ref-GeaIzquierdo2009"/>
      <w:bookmarkEnd w:id="53"/>
      <w:r w:rsidRPr="004130EB">
        <w:rPr>
          <w:lang w:val="es-ES"/>
        </w:rPr>
        <w:t xml:space="preserve">Gea-Izquierdo G, </w:t>
      </w:r>
      <w:proofErr w:type="spellStart"/>
      <w:r w:rsidRPr="004130EB">
        <w:rPr>
          <w:lang w:val="es-ES"/>
        </w:rPr>
        <w:t>Cañellas</w:t>
      </w:r>
      <w:proofErr w:type="spellEnd"/>
      <w:r w:rsidRPr="004130EB">
        <w:rPr>
          <w:lang w:val="es-ES"/>
        </w:rPr>
        <w:t xml:space="preserve"> I. 2009. </w:t>
      </w:r>
      <w:r>
        <w:t>Analysis of Holm Oak Intraspecific Competition Using Gamma Regression. Forest science 55:310–22.</w:t>
      </w:r>
    </w:p>
    <w:p w14:paraId="08E09285" w14:textId="77777777" w:rsidR="001220DB" w:rsidRDefault="00FE5229">
      <w:pPr>
        <w:pStyle w:val="Bibliography"/>
      </w:pPr>
      <w:bookmarkStart w:id="55" w:name="ref-GeaIzquierdo2014"/>
      <w:bookmarkEnd w:id="54"/>
      <w:r>
        <w:t>Gea-Izquierdo G, Cañellas I. 2014. Local climate forces instability in long-term productivity of a Mediterranean oak along climatic gradients. Ecosystems 17:228–41.</w:t>
      </w:r>
    </w:p>
    <w:p w14:paraId="2A61BB9B" w14:textId="77777777" w:rsidR="001220DB" w:rsidRDefault="00FE5229">
      <w:pPr>
        <w:pStyle w:val="Bibliography"/>
      </w:pPr>
      <w:bookmarkStart w:id="56" w:name="ref-GeaIzquierdo2011"/>
      <w:bookmarkEnd w:id="55"/>
      <w:r>
        <w:t xml:space="preserve">Gea-Izquierdo G, Cherubini P, Cañellas I. 2011. Tree-rings reflect the impact of climate change on quercus ilex l. Along a temperature gradient in spain over the last 100 years. Forest Ecology and Management 262:1807–16. </w:t>
      </w:r>
      <w:hyperlink r:id="rId16">
        <w:r>
          <w:rPr>
            <w:rStyle w:val="Hyperlink"/>
          </w:rPr>
          <w:t>https://doi.org/10.1016/j.foreco.2011.07.025</w:t>
        </w:r>
      </w:hyperlink>
    </w:p>
    <w:p w14:paraId="0266E122" w14:textId="77777777" w:rsidR="001220DB" w:rsidRDefault="00FE5229">
      <w:pPr>
        <w:pStyle w:val="Bibliography"/>
      </w:pPr>
      <w:bookmarkStart w:id="57" w:name="ref-GeaIzquierdo2013"/>
      <w:bookmarkEnd w:id="56"/>
      <w:r>
        <w:t>Gea-Izquierdo G, Fernández-de-Uña L, Cañellas I. 2013. Growth projections reveal local vulnerability of Mediterranean oaks with rising temperatures. Forest Ecology and Management 305:282–93.</w:t>
      </w:r>
    </w:p>
    <w:p w14:paraId="3FD79531" w14:textId="77777777" w:rsidR="001220DB" w:rsidRDefault="00FE5229">
      <w:pPr>
        <w:pStyle w:val="Bibliography"/>
      </w:pPr>
      <w:bookmarkStart w:id="58" w:name="ref-GeaIzquierdo2015EJFR"/>
      <w:bookmarkEnd w:id="57"/>
      <w:r>
        <w:t>Gea-Izquierdo G, Montes F, Gavilán RG, Cañellas I, Rubio A. 2015. Is this the end? Dynamics of a relict stand from pervasively deforested ancient Iberian pine forests. European Journal of Forest Research 134:525–36.</w:t>
      </w:r>
    </w:p>
    <w:p w14:paraId="4C83495A" w14:textId="77777777" w:rsidR="001220DB" w:rsidRDefault="00FE5229">
      <w:pPr>
        <w:pStyle w:val="Bibliography"/>
      </w:pPr>
      <w:bookmarkStart w:id="59" w:name="ref-Hampe2005"/>
      <w:bookmarkEnd w:id="58"/>
      <w:r>
        <w:t>Hampe A, Petit RJ. 2005. Conserving biodiversity under climate change: The rear edge matters. Ecology Letters 8:461–7.</w:t>
      </w:r>
    </w:p>
    <w:p w14:paraId="63A1D64A" w14:textId="77777777" w:rsidR="001220DB" w:rsidRDefault="00FE5229">
      <w:pPr>
        <w:pStyle w:val="Bibliography"/>
      </w:pPr>
      <w:bookmarkStart w:id="60" w:name="ref-Haylock2008"/>
      <w:bookmarkEnd w:id="59"/>
      <w:r>
        <w:t>Haylock MR, Hofstra N, Klein Tank AMG, Klok EJ, Jones PD, New M. 2008. A European daily high-resolution gridded data set of surface temperature and precipitation for 1950–2006. Journal of Geophysical Research 113:D20119.</w:t>
      </w:r>
    </w:p>
    <w:p w14:paraId="52A6B17E" w14:textId="77777777" w:rsidR="001220DB" w:rsidRDefault="00FE5229">
      <w:pPr>
        <w:pStyle w:val="Bibliography"/>
      </w:pPr>
      <w:bookmarkStart w:id="61" w:name="ref-Herrero2014"/>
      <w:bookmarkEnd w:id="60"/>
      <w:r>
        <w:t>Herrero A, Zamora R. 2014. Plant responses to extreme climatic events: A field test of resilience capacity at the southern range edge. PLOS ONE 9:e87842.</w:t>
      </w:r>
    </w:p>
    <w:p w14:paraId="5FF41C18" w14:textId="77777777" w:rsidR="001220DB" w:rsidRDefault="00FE5229">
      <w:pPr>
        <w:pStyle w:val="Bibliography"/>
      </w:pPr>
      <w:bookmarkStart w:id="62" w:name="ref-Holmes1983"/>
      <w:bookmarkEnd w:id="61"/>
      <w:r>
        <w:t>Holmes RL. 1983. Computer-assisted quality control in tree-ring dating and measurement. Tree-Ring Bulletin 43:69–78.</w:t>
      </w:r>
    </w:p>
    <w:p w14:paraId="32E69F15" w14:textId="77777777" w:rsidR="001220DB" w:rsidRPr="004130EB" w:rsidRDefault="00FE5229">
      <w:pPr>
        <w:pStyle w:val="Bibliography"/>
        <w:rPr>
          <w:lang w:val="es-ES"/>
        </w:rPr>
      </w:pPr>
      <w:bookmarkStart w:id="63" w:name="ref-Huang2018"/>
      <w:bookmarkEnd w:id="62"/>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14:paraId="5471C4B7" w14:textId="77777777" w:rsidR="001220DB" w:rsidRPr="004130EB" w:rsidRDefault="00FE5229">
      <w:pPr>
        <w:pStyle w:val="Bibliography"/>
        <w:rPr>
          <w:lang w:val="es-ES"/>
        </w:rPr>
      </w:pPr>
      <w:bookmarkStart w:id="64" w:name="ref-JimenezOlivencia2015"/>
      <w:bookmarkEnd w:id="63"/>
      <w:r w:rsidRPr="004130EB">
        <w:rPr>
          <w:lang w:val="es-ES"/>
        </w:rPr>
        <w:lastRenderedPageBreak/>
        <w:t>Jiménez-Olivencia Y, Porcel L, Caballero A. 2015. Medio siglo en la evolución de los paisajes naturales y agrarios de Sierra Nevada (España). Boletín de la Asociación de Geógrafos Españoles 68:205–32.</w:t>
      </w:r>
    </w:p>
    <w:p w14:paraId="2B948363" w14:textId="77777777" w:rsidR="001220DB" w:rsidRDefault="00FE5229">
      <w:pPr>
        <w:pStyle w:val="Bibliography"/>
      </w:pPr>
      <w:bookmarkStart w:id="65" w:name="ref-Jump2010"/>
      <w:bookmarkEnd w:id="64"/>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14:paraId="7B813DCF" w14:textId="77777777" w:rsidR="001220DB" w:rsidRDefault="00FE5229">
      <w:pPr>
        <w:pStyle w:val="Bibliography"/>
      </w:pPr>
      <w:bookmarkStart w:id="66" w:name="ref-Korner2013"/>
      <w:bookmarkEnd w:id="65"/>
      <w:r>
        <w:t>Körner C. 2013. Growth controls photosynthesis Mostly. Nova Acta Leopoldina 114:273–83.</w:t>
      </w:r>
    </w:p>
    <w:p w14:paraId="282D2E07" w14:textId="77777777" w:rsidR="001220DB" w:rsidRDefault="00FE5229">
      <w:pPr>
        <w:pStyle w:val="Bibliography"/>
      </w:pPr>
      <w:bookmarkStart w:id="67" w:name="ref-Lloret2011"/>
      <w:bookmarkEnd w:id="66"/>
      <w:r>
        <w:t>Lloret F, Keeling EG, Sala A. 2011. Components of tree resilience: Effects of successive low-growth episodes in old ponderosa pine forests. Oikos 120:1909–20.</w:t>
      </w:r>
    </w:p>
    <w:p w14:paraId="684B97E2" w14:textId="77777777" w:rsidR="001220DB" w:rsidRDefault="00FE5229">
      <w:pPr>
        <w:pStyle w:val="Bibliography"/>
      </w:pPr>
      <w:bookmarkStart w:id="68" w:name="ref-Lloret2004"/>
      <w:bookmarkEnd w:id="67"/>
      <w:r>
        <w:t>Lloret F, Siscart D, Dalmases C. 2004. Canopy recovery after drought dieback in holm-oak mediterranean forests of catalonia (NE spain). Global Change Biology 10:2092–9.</w:t>
      </w:r>
    </w:p>
    <w:p w14:paraId="370EB509" w14:textId="77777777" w:rsidR="001220DB" w:rsidRDefault="00FE5229">
      <w:pPr>
        <w:pStyle w:val="Bibliography"/>
      </w:pPr>
      <w:bookmarkStart w:id="69" w:name="ref-Loriteetal2008ABG"/>
      <w:bookmarkEnd w:id="68"/>
      <w:r>
        <w:t>Lorite J, Salazar C, Peñas J, Valle F. 2008. Phytosociological review on the forests of quercus pyrenaica willd. Acta Botanica Gallica 155:219–33.</w:t>
      </w:r>
    </w:p>
    <w:p w14:paraId="4A43DE61" w14:textId="77777777" w:rsidR="001220DB" w:rsidRPr="004130EB" w:rsidRDefault="00FE5229">
      <w:pPr>
        <w:pStyle w:val="Bibliography"/>
        <w:rPr>
          <w:lang w:val="es-ES"/>
        </w:rPr>
      </w:pPr>
      <w:bookmarkStart w:id="70" w:name="ref-MartinezVilalta2018"/>
      <w:bookmarkEnd w:id="69"/>
      <w:r>
        <w:t xml:space="preserve">Martínez-Vilalta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14:paraId="28B70D5A" w14:textId="77777777" w:rsidR="001220DB" w:rsidRDefault="00FE5229">
      <w:pPr>
        <w:pStyle w:val="Bibliography"/>
      </w:pPr>
      <w:bookmarkStart w:id="71" w:name="ref-Navarro2013"/>
      <w:bookmarkEnd w:id="70"/>
      <w:r w:rsidRPr="004130EB">
        <w:rPr>
          <w:lang w:val="es-ES"/>
        </w:rPr>
        <w:t xml:space="preserve">Navarro-González I, Pérez-Luque AJ, Bonet FJ, Zamora R. 2013. </w:t>
      </w:r>
      <w:r>
        <w:t>The weight of the past: Land-use legacies and recolonization of pine plantations by oak trees. Ecological Applications 23:1267–76.</w:t>
      </w:r>
    </w:p>
    <w:p w14:paraId="1187EE92" w14:textId="77777777" w:rsidR="001220DB" w:rsidRDefault="00FE5229">
      <w:pPr>
        <w:pStyle w:val="Bibliography"/>
      </w:pPr>
      <w:bookmarkStart w:id="72" w:name="ref-Nowacki1997"/>
      <w:bookmarkEnd w:id="71"/>
      <w:r>
        <w:t>Nowacki GJ, Abrams MD. 1997. Radial-growth averaging criteria for reconstructing disturbance histories from presettlement-origing oaks. Ecological Monographs 67:225–49.</w:t>
      </w:r>
    </w:p>
    <w:p w14:paraId="26D80559" w14:textId="77777777" w:rsidR="001220DB" w:rsidRDefault="00FE5229">
      <w:pPr>
        <w:pStyle w:val="Bibliography"/>
      </w:pPr>
      <w:bookmarkStart w:id="73" w:name="ref-Olalde2002"/>
      <w:bookmarkEnd w:id="72"/>
      <w:r>
        <w:t>Olalde M, Herrán A, Espinel S, Goicoechea PG. 2002. White oaks phylogeography in the Iberian Peninsula. Forest Ecology and Management 156:89–102.</w:t>
      </w:r>
    </w:p>
    <w:p w14:paraId="4851E48C" w14:textId="77777777" w:rsidR="00573191" w:rsidRPr="008C53A8" w:rsidRDefault="00573191" w:rsidP="00573191">
      <w:pPr>
        <w:pStyle w:val="Bibliography"/>
        <w:rPr>
          <w:color w:val="FF0000"/>
        </w:rPr>
      </w:pPr>
      <w:proofErr w:type="spellStart"/>
      <w:r w:rsidRPr="00573191">
        <w:rPr>
          <w:color w:val="FF0000"/>
        </w:rPr>
        <w:t>Oldfather</w:t>
      </w:r>
      <w:proofErr w:type="spellEnd"/>
      <w:r w:rsidRPr="00573191">
        <w:rPr>
          <w:color w:val="FF0000"/>
        </w:rPr>
        <w:t xml:space="preserve"> MF, Kling MM, </w:t>
      </w:r>
      <w:proofErr w:type="spellStart"/>
      <w:r w:rsidRPr="00573191">
        <w:rPr>
          <w:color w:val="FF0000"/>
        </w:rPr>
        <w:t>Sheth</w:t>
      </w:r>
      <w:proofErr w:type="spellEnd"/>
      <w:r w:rsidRPr="00573191">
        <w:rPr>
          <w:color w:val="FF0000"/>
        </w:rPr>
        <w:t xml:space="preserve"> SN, Emery NC, </w:t>
      </w:r>
      <w:proofErr w:type="spellStart"/>
      <w:r w:rsidRPr="00573191">
        <w:rPr>
          <w:color w:val="FF0000"/>
        </w:rPr>
        <w:t>Ackerly</w:t>
      </w:r>
      <w:proofErr w:type="spellEnd"/>
      <w:r w:rsidRPr="00573191">
        <w:rPr>
          <w:color w:val="FF0000"/>
        </w:rPr>
        <w:t xml:space="preserve"> DD. 2020. Range edges in heterogeneous landscapes: Integrating geographic scale and climate complexity into range dynamics. Global Change Biology 26:1055–67. </w:t>
      </w:r>
      <w:hyperlink r:id="rId17" w:history="1">
        <w:r w:rsidRPr="00573191">
          <w:rPr>
            <w:rStyle w:val="Hyperlink"/>
            <w:color w:val="FF0000"/>
          </w:rPr>
          <w:t>https://onlinelibrary.wiley.com/doi/abs/10.1111/gcb.14897</w:t>
        </w:r>
      </w:hyperlink>
      <w:r w:rsidRPr="00573191">
        <w:rPr>
          <w:color w:val="FF0000"/>
        </w:rPr>
        <w:t xml:space="preserve">. </w:t>
      </w:r>
    </w:p>
    <w:p w14:paraId="08B9B810" w14:textId="77777777" w:rsidR="001220DB" w:rsidRPr="004130EB" w:rsidRDefault="00FE5229">
      <w:pPr>
        <w:pStyle w:val="Bibliography"/>
        <w:rPr>
          <w:lang w:val="es-ES"/>
        </w:rPr>
      </w:pPr>
      <w:bookmarkStart w:id="74" w:name="ref-Pascoa2017"/>
      <w:bookmarkEnd w:id="73"/>
      <w:proofErr w:type="spellStart"/>
      <w:r>
        <w:t>Páscoa</w:t>
      </w:r>
      <w:proofErr w:type="spellEnd"/>
      <w:r>
        <w:t xml:space="preserve"> P, Gouveia C, Russo A, Trigo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14:paraId="57D6F230" w14:textId="77777777" w:rsidR="001220DB" w:rsidRDefault="00FE5229">
      <w:pPr>
        <w:pStyle w:val="Bibliography"/>
      </w:pPr>
      <w:bookmarkStart w:id="75" w:name="ref-PenaGallardo2018"/>
      <w:bookmarkEnd w:id="74"/>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Drought sensitiveness on forest growth in peninsular spain and the balearic islands. Forests.</w:t>
      </w:r>
    </w:p>
    <w:p w14:paraId="6C15F400" w14:textId="77777777" w:rsidR="001220DB" w:rsidRPr="004130EB" w:rsidRDefault="00FE5229">
      <w:pPr>
        <w:pStyle w:val="Bibliography"/>
        <w:rPr>
          <w:lang w:val="es-ES"/>
        </w:rPr>
      </w:pPr>
      <w:bookmarkStart w:id="76" w:name="ref-Penuelas2001"/>
      <w:bookmarkEnd w:id="75"/>
      <w:r>
        <w:t xml:space="preserve">Peñuelas J, Lloret F, Montoya R. 2001. Severe drought effects on mediterranean woody flora in spain.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14:paraId="213E98AA" w14:textId="77777777" w:rsidR="001220DB" w:rsidRDefault="00FE5229">
      <w:pPr>
        <w:pStyle w:val="Bibliography"/>
      </w:pPr>
      <w:bookmarkStart w:id="77" w:name="ref-PerezLuque2015onto"/>
      <w:bookmarkEnd w:id="76"/>
      <w:r w:rsidRPr="004130EB">
        <w:rPr>
          <w:lang w:val="es-ES"/>
        </w:rPr>
        <w:lastRenderedPageBreak/>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7973848D" w14:textId="77777777" w:rsidR="001220DB" w:rsidRDefault="00FE5229">
      <w:pPr>
        <w:pStyle w:val="Bibliography"/>
      </w:pPr>
      <w:bookmarkStart w:id="78" w:name="ref-PerezLuque2015"/>
      <w:bookmarkEnd w:id="77"/>
      <w:r>
        <w:t>Pérez-Luque AJ, Zamora R, Bonet FJ, Pérez-Pérez R. 2015b. Dataset of migrame project (global change, altitudinal range shift and colonization of degraded habitats in Mediterranean mountains). PhytoKeys 56:61–81.</w:t>
      </w:r>
    </w:p>
    <w:p w14:paraId="5FB10A69" w14:textId="77777777" w:rsidR="001220DB" w:rsidRDefault="00FE5229">
      <w:pPr>
        <w:pStyle w:val="Bibliography"/>
      </w:pPr>
      <w:bookmarkStart w:id="79" w:name="ref-Piovesan2008"/>
      <w:bookmarkEnd w:id="78"/>
      <w:r>
        <w:t>Piovesan G, Biondi F, Filippo AD, Alessandrini A, Maugeri M. 2008. Drought-driven growth reduction in old beech (Fagus sylvatica l.) forests of the central apennines, italy. Global Change Biology 14:1265–81.</w:t>
      </w:r>
    </w:p>
    <w:p w14:paraId="25E93B48" w14:textId="77777777" w:rsidR="001220DB" w:rsidRPr="006C7E31" w:rsidRDefault="00FE5229">
      <w:pPr>
        <w:pStyle w:val="Bibliography"/>
        <w:rPr>
          <w:rStyle w:val="Hyperlink"/>
        </w:rPr>
      </w:pPr>
      <w:bookmarkStart w:id="80" w:name="ref-Pironon2016"/>
      <w:bookmarkEnd w:id="79"/>
      <w:r>
        <w:t xml:space="preserve">Pironon S, Papuga G, Villellas J, Angert AL, Garcı́a MB, Thompson JD. 2016. Geographic variation in genetic and demographic performance: New insights from an old biogeographical paradigm. </w:t>
      </w:r>
      <w:r w:rsidRPr="006C7E31">
        <w:t xml:space="preserve">Biological Reviews 92:1877–909. </w:t>
      </w:r>
      <w:hyperlink r:id="rId18">
        <w:r w:rsidRPr="006C7E31">
          <w:rPr>
            <w:rStyle w:val="Hyperlink"/>
          </w:rPr>
          <w:t>https://doi.org/10.1111/brv.12313</w:t>
        </w:r>
      </w:hyperlink>
    </w:p>
    <w:p w14:paraId="7F940A86" w14:textId="77777777" w:rsidR="00611F54" w:rsidRPr="00611F54" w:rsidRDefault="00611F54">
      <w:pPr>
        <w:pStyle w:val="Bibliography"/>
        <w:rPr>
          <w:color w:val="FF0000"/>
          <w:lang w:val="es-ES"/>
        </w:rPr>
      </w:pPr>
      <w:r w:rsidRPr="006C7E31">
        <w:rPr>
          <w:color w:val="FF0000"/>
        </w:rPr>
        <w:t xml:space="preserve">Rehm EM, Olivas P, Stroud J, Feeley KJ. 2015. </w:t>
      </w:r>
      <w:r w:rsidRPr="00611F54">
        <w:rPr>
          <w:color w:val="FF0000"/>
        </w:rPr>
        <w:t xml:space="preserve">Losing your edge: climate change and the conservation value of range-edge populations. </w:t>
      </w:r>
      <w:proofErr w:type="spellStart"/>
      <w:r w:rsidRPr="00611F54">
        <w:rPr>
          <w:color w:val="FF0000"/>
          <w:lang w:val="es-ES"/>
        </w:rPr>
        <w:t>Ecology</w:t>
      </w:r>
      <w:proofErr w:type="spellEnd"/>
      <w:r w:rsidRPr="00611F54">
        <w:rPr>
          <w:color w:val="FF0000"/>
          <w:lang w:val="es-ES"/>
        </w:rPr>
        <w:t xml:space="preserve"> and </w:t>
      </w:r>
      <w:proofErr w:type="spellStart"/>
      <w:r w:rsidRPr="00611F54">
        <w:rPr>
          <w:color w:val="FF0000"/>
          <w:lang w:val="es-ES"/>
        </w:rPr>
        <w:t>Evolution</w:t>
      </w:r>
      <w:proofErr w:type="spellEnd"/>
      <w:r w:rsidRPr="00611F54">
        <w:rPr>
          <w:color w:val="FF0000"/>
          <w:lang w:val="es-ES"/>
        </w:rPr>
        <w:t xml:space="preserve"> 5:4315–26. </w:t>
      </w:r>
      <w:hyperlink r:id="rId19" w:history="1">
        <w:r w:rsidRPr="00611F54">
          <w:rPr>
            <w:rStyle w:val="Hyperlink"/>
            <w:color w:val="FF0000"/>
            <w:lang w:val="es-ES"/>
          </w:rPr>
          <w:t>http://doi.wiley.com/10.1002/ece3.1645</w:t>
        </w:r>
      </w:hyperlink>
      <w:r w:rsidRPr="00611F54">
        <w:rPr>
          <w:color w:val="FF0000"/>
          <w:lang w:val="es-ES"/>
        </w:rPr>
        <w:t xml:space="preserve"> </w:t>
      </w:r>
    </w:p>
    <w:p w14:paraId="6D64C0EC" w14:textId="77777777" w:rsidR="001220DB" w:rsidRPr="004130EB" w:rsidRDefault="00FE5229">
      <w:pPr>
        <w:pStyle w:val="Bibliography"/>
        <w:rPr>
          <w:lang w:val="es-ES"/>
        </w:rPr>
      </w:pPr>
      <w:bookmarkStart w:id="81" w:name="ref-Reyes2015"/>
      <w:bookmarkEnd w:id="80"/>
      <w:r w:rsidRPr="004130EB">
        <w:rPr>
          <w:lang w:val="es-ES"/>
        </w:rPr>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14:paraId="4D49FC85" w14:textId="77777777" w:rsidR="001220DB" w:rsidRDefault="00FE5229">
      <w:pPr>
        <w:pStyle w:val="Bibliography"/>
      </w:pPr>
      <w:bookmarkStart w:id="82" w:name="ref-delRio2007"/>
      <w:bookmarkEnd w:id="81"/>
      <w:r w:rsidRPr="004130EB">
        <w:rPr>
          <w:lang w:val="es-ES"/>
        </w:rPr>
        <w:t xml:space="preserve">Río S del, Herrero L, Penas Á. 2007. </w:t>
      </w:r>
      <w:r>
        <w:t xml:space="preserve">Bioclimatic analysis of the </w:t>
      </w:r>
      <w:r>
        <w:rPr>
          <w:i/>
        </w:rPr>
        <w:t>Quercus pyrenaica</w:t>
      </w:r>
      <w:r>
        <w:t xml:space="preserve"> forests in Spain. Phytocoenologia 37:541–60.</w:t>
      </w:r>
    </w:p>
    <w:p w14:paraId="2A694B9E" w14:textId="77777777" w:rsidR="001220DB" w:rsidRDefault="00FE5229">
      <w:pPr>
        <w:pStyle w:val="Bibliography"/>
      </w:pPr>
      <w:bookmarkStart w:id="83" w:name="ref-Rubino2004"/>
      <w:bookmarkEnd w:id="82"/>
      <w:r>
        <w:t>Rubino DL, McCarthy BC. 2004. Comparative analysis of dendroecological methods used to assess disturbance events. Dendrochronologia 21:97–115.</w:t>
      </w:r>
    </w:p>
    <w:p w14:paraId="2486A2F3" w14:textId="77777777" w:rsidR="001220DB" w:rsidRDefault="00FE5229">
      <w:pPr>
        <w:pStyle w:val="Bibliography"/>
      </w:pPr>
      <w:bookmarkStart w:id="84" w:name="ref-Sagarin2002"/>
      <w:bookmarkEnd w:id="83"/>
      <w:r>
        <w:t xml:space="preserve">Sagarin RD, Gaines SD. 2002. The abundant centre distribution: To what extent is it a biogeographical rule? Ecology Letters 5:137–47. </w:t>
      </w:r>
      <w:hyperlink r:id="rId20">
        <w:r>
          <w:rPr>
            <w:rStyle w:val="Hyperlink"/>
          </w:rPr>
          <w:t>https://doi.org/10.1046/j.1461-0248.2002.00297.x</w:t>
        </w:r>
      </w:hyperlink>
    </w:p>
    <w:p w14:paraId="5C2600BE" w14:textId="77777777" w:rsidR="001220DB" w:rsidRDefault="00FE5229">
      <w:pPr>
        <w:pStyle w:val="Bibliography"/>
      </w:pPr>
      <w:bookmarkStart w:id="85" w:name="ref-Salzer2009"/>
      <w:bookmarkEnd w:id="84"/>
      <w:r>
        <w:t>Salzer MW, Hughes MK, Bunn AG, Kipfmueller KF. 2009. Recent unprecedented tree-ring growth in bristlecone pine at the highest elevations and possible causes. Proceedings of the National Academy of Sciences 106:20348–53.</w:t>
      </w:r>
    </w:p>
    <w:p w14:paraId="38F76944" w14:textId="77777777" w:rsidR="001220DB" w:rsidRPr="004130EB" w:rsidRDefault="00FE5229">
      <w:pPr>
        <w:pStyle w:val="Bibliography"/>
        <w:rPr>
          <w:lang w:val="es-ES"/>
        </w:rPr>
      </w:pPr>
      <w:bookmarkStart w:id="86" w:name="ref-Samanta2012"/>
      <w:bookmarkEnd w:id="85"/>
      <w:r>
        <w:t xml:space="preserve">Samanta A, Ganguly S, Vermote E, Nemani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14:paraId="068E334B" w14:textId="77777777" w:rsidR="001220DB" w:rsidRDefault="00FE5229">
      <w:pPr>
        <w:pStyle w:val="Bibliography"/>
      </w:pPr>
      <w:bookmarkStart w:id="87" w:name="ref-SanchezSalguero2012"/>
      <w:bookmarkEnd w:id="86"/>
      <w:r w:rsidRPr="004130EB">
        <w:rPr>
          <w:lang w:val="es-ES"/>
        </w:rPr>
        <w:lastRenderedPageBreak/>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14:paraId="185272B4" w14:textId="77777777" w:rsidR="001220DB" w:rsidRDefault="00FE5229">
      <w:pPr>
        <w:pStyle w:val="Bibliography"/>
      </w:pPr>
      <w:bookmarkStart w:id="88" w:name="ref-Sexton2009"/>
      <w:bookmarkEnd w:id="87"/>
      <w:r>
        <w:t>Sexton JP, McIntyre PJ, Angert AL, Rice KJ. 2009. Evolution and ecology of species range limits. Annual Review of Ecology, Evolution, and Systematics 40:415–36.</w:t>
      </w:r>
    </w:p>
    <w:p w14:paraId="2E072E8C" w14:textId="77777777" w:rsidR="001220DB" w:rsidRDefault="00FE5229">
      <w:pPr>
        <w:pStyle w:val="Bibliography"/>
      </w:pPr>
      <w:bookmarkStart w:id="89" w:name="ref-Spinoni2015"/>
      <w:bookmarkEnd w:id="88"/>
      <w:r>
        <w:t>Spinoni J, Naumann G, Vogt J, Barbosa P. 2015. European drought climatologies and trends based on a multi-indicator approach. Global and Planetary Change 127:50–7.</w:t>
      </w:r>
    </w:p>
    <w:p w14:paraId="64916B74" w14:textId="77777777" w:rsidR="001220DB" w:rsidRDefault="00FE5229">
      <w:pPr>
        <w:pStyle w:val="Bibliography"/>
      </w:pPr>
      <w:bookmarkStart w:id="90" w:name="ref-Spinoni2017a"/>
      <w:bookmarkEnd w:id="89"/>
      <w:r>
        <w:t>Spinoni J, Vogt JV, Naumann G, Barbosa P, Dosio A. 2017. Will drought events become more frequent and severe in Europe? International Journal of Climatology.</w:t>
      </w:r>
    </w:p>
    <w:p w14:paraId="39D41CA1" w14:textId="77777777" w:rsidR="001220DB" w:rsidRDefault="00FE5229">
      <w:pPr>
        <w:pStyle w:val="Bibliography"/>
      </w:pPr>
      <w:bookmarkStart w:id="91" w:name="ref-Stagge2017"/>
      <w:bookmarkEnd w:id="90"/>
      <w:r>
        <w:t>Stagge JH, Kingston DG, Tallaksen LM, Hannah DM. 2017. Observed drought indices show increasing divergence across Europe. Scientific Reports 7:14045.</w:t>
      </w:r>
    </w:p>
    <w:p w14:paraId="195B1E03" w14:textId="77777777" w:rsidR="001220DB" w:rsidRDefault="00FE5229">
      <w:pPr>
        <w:pStyle w:val="Bibliography"/>
      </w:pPr>
      <w:bookmarkStart w:id="92" w:name="ref-Tessieretal1994DeciduousQuercus"/>
      <w:bookmarkEnd w:id="91"/>
      <w:r>
        <w:t>Tessier L, Nola P, Serre-Bachet F. 1994. Deciduous quercus in the mediterranean region: Tree-ring/climate relationships. The New Phytologist 126:355–67.</w:t>
      </w:r>
    </w:p>
    <w:p w14:paraId="579B248B" w14:textId="77777777" w:rsidR="001220DB" w:rsidRDefault="00FE5229">
      <w:pPr>
        <w:pStyle w:val="Bibliography"/>
      </w:pPr>
      <w:bookmarkStart w:id="93" w:name="ref-Trigo2013"/>
      <w:bookmarkEnd w:id="92"/>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75D5BEF6" w14:textId="77777777" w:rsidR="001220DB" w:rsidRDefault="00FE5229">
      <w:pPr>
        <w:pStyle w:val="Bibliography"/>
      </w:pPr>
      <w:bookmarkStart w:id="94" w:name="ref-Valbuena2013"/>
      <w:bookmarkEnd w:id="93"/>
      <w:r w:rsidRPr="004130EB">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14:paraId="240BD4BC" w14:textId="77777777" w:rsidR="001220DB" w:rsidRPr="004130EB" w:rsidRDefault="00FE5229">
      <w:pPr>
        <w:pStyle w:val="Bibliography"/>
        <w:rPr>
          <w:lang w:val="es-ES"/>
        </w:rPr>
      </w:pPr>
      <w:bookmarkStart w:id="95" w:name="ref-Valbuena2017"/>
      <w:bookmarkEnd w:id="94"/>
      <w:r>
        <w:t>Valbuena-Carabaña M, Gil L. 2017. Centenary coppicing maintains high levels of genetic diversity in a root resprouting oak (</w:t>
      </w:r>
      <w:r>
        <w:rPr>
          <w:i/>
        </w:rPr>
        <w:t>Quercus pyrenaica</w:t>
      </w:r>
      <w:r>
        <w:t xml:space="preserve"> Willd.).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14:paraId="74ED0364" w14:textId="77777777" w:rsidR="001220DB" w:rsidRPr="004130EB" w:rsidRDefault="00FE5229">
      <w:pPr>
        <w:pStyle w:val="Bibliography"/>
        <w:rPr>
          <w:lang w:val="es-ES"/>
        </w:rPr>
      </w:pPr>
      <w:bookmarkStart w:id="96" w:name="ref-VicenteSerrano2010"/>
      <w:bookmarkEnd w:id="95"/>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14:paraId="43A7FE07" w14:textId="77777777" w:rsidR="001220DB" w:rsidRPr="004130EB" w:rsidRDefault="00FE5229">
      <w:pPr>
        <w:pStyle w:val="Bibliography"/>
        <w:rPr>
          <w:lang w:val="es-ES"/>
        </w:rPr>
      </w:pPr>
      <w:bookmarkStart w:id="97" w:name="ref-VicenteSerrano2013"/>
      <w:bookmarkEnd w:id="96"/>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14:paraId="1EC91F32" w14:textId="77777777" w:rsidR="001220DB" w:rsidRDefault="00FE5229">
      <w:pPr>
        <w:pStyle w:val="Bibliography"/>
      </w:pPr>
      <w:bookmarkStart w:id="98" w:name="ref-VicenteSerrano2014"/>
      <w:bookmarkEnd w:id="97"/>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24BE9409" w14:textId="77777777" w:rsidR="001220DB" w:rsidRPr="004130EB" w:rsidRDefault="00FE5229">
      <w:pPr>
        <w:pStyle w:val="Bibliography"/>
        <w:rPr>
          <w:lang w:val="es-ES"/>
        </w:rPr>
      </w:pPr>
      <w:bookmarkStart w:id="99" w:name="ref-VilaCabreraJump2019GreaterGrowth"/>
      <w:bookmarkEnd w:id="98"/>
      <w:r>
        <w:lastRenderedPageBreak/>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14:paraId="3E41F310" w14:textId="77777777" w:rsidR="001220DB" w:rsidRDefault="00FE5229">
      <w:pPr>
        <w:pStyle w:val="Bibliography"/>
      </w:pPr>
      <w:bookmarkStart w:id="100" w:name="ref-VilaCabrera2011"/>
      <w:bookmarkEnd w:id="99"/>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Structural and climatic determinants of demographic rates of scots pine forests across the iberian peninsula. Ecological Applications 21:1162–72.</w:t>
      </w:r>
    </w:p>
    <w:p w14:paraId="031685D5" w14:textId="77777777" w:rsidR="001220DB" w:rsidRDefault="00FE5229">
      <w:pPr>
        <w:pStyle w:val="Bibliography"/>
      </w:pPr>
      <w:bookmarkStart w:id="101" w:name="ref-VilaCabrera2019"/>
      <w:bookmarkEnd w:id="100"/>
      <w:r>
        <w:t>Vilà-Cabrera A, Premoli AC, Jump AS. 2019. Refining predictions of population decline at species’ rear edges. Global Change Biology 25:1549–60.</w:t>
      </w:r>
    </w:p>
    <w:p w14:paraId="1218E7C4" w14:textId="77777777" w:rsidR="001220DB" w:rsidRDefault="00FE5229">
      <w:pPr>
        <w:pStyle w:val="Bibliography"/>
      </w:pPr>
      <w:bookmarkStart w:id="102" w:name="ref-Wilcox2012"/>
      <w:bookmarkEnd w:id="101"/>
      <w:r>
        <w:t>Wilcox R. 2012. Introduction to robust estimation and hypothesis testing (third edition). Third Edition. Academic Press</w:t>
      </w:r>
    </w:p>
    <w:p w14:paraId="60800433" w14:textId="77777777" w:rsidR="001220DB" w:rsidRDefault="00FE5229">
      <w:pPr>
        <w:pStyle w:val="Bibliography"/>
      </w:pPr>
      <w:bookmarkStart w:id="103" w:name="ref-Zang2015"/>
      <w:bookmarkEnd w:id="102"/>
      <w:r>
        <w:t>Zang C, Biondi F. 2015. Treeclim: An r package for the numerical calibration of proxy-climate relationships. Ecography 38:431–6.</w:t>
      </w:r>
    </w:p>
    <w:p w14:paraId="2A2DF9A3" w14:textId="77777777" w:rsidR="001220DB" w:rsidRDefault="00FE5229">
      <w:pPr>
        <w:pStyle w:val="Bibliography"/>
      </w:pPr>
      <w:bookmarkStart w:id="104" w:name="ref-Zhang2013"/>
      <w:bookmarkEnd w:id="103"/>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8"/>
      <w:bookmarkEnd w:id="104"/>
    </w:p>
    <w:sectPr w:rsidR="001220DB" w:rsidSect="00514E08">
      <w:footerReference w:type="even" r:id="rId21"/>
      <w:footerReference w:type="default" r:id="rId22"/>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Antonio J." w:date="2020-05-20T13:16:00Z" w:initials="AJ">
    <w:p w14:paraId="52A75E12" w14:textId="77777777" w:rsidR="0046787E" w:rsidRDefault="0046787E">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75E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75E12" w16cid:durableId="226FAC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49978" w14:textId="77777777" w:rsidR="007C4AB9" w:rsidRDefault="007C4AB9">
      <w:pPr>
        <w:spacing w:before="0" w:after="0" w:line="240" w:lineRule="auto"/>
      </w:pPr>
      <w:r>
        <w:separator/>
      </w:r>
    </w:p>
  </w:endnote>
  <w:endnote w:type="continuationSeparator" w:id="0">
    <w:p w14:paraId="1D9E1323" w14:textId="77777777" w:rsidR="007C4AB9" w:rsidRDefault="007C4A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9AEC" w14:textId="77777777" w:rsidR="00514E08" w:rsidRDefault="00514E0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743A6" w14:textId="77777777" w:rsidR="00514E08" w:rsidRDefault="00514E08"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AA3E" w14:textId="77777777" w:rsidR="00514E08" w:rsidRDefault="00514E0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D41EA1C" w14:textId="77777777" w:rsidR="00514E08" w:rsidRDefault="00514E08"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93106" w14:textId="77777777" w:rsidR="007C4AB9" w:rsidRDefault="007C4AB9">
      <w:r>
        <w:separator/>
      </w:r>
    </w:p>
  </w:footnote>
  <w:footnote w:type="continuationSeparator" w:id="0">
    <w:p w14:paraId="5F656A36" w14:textId="77777777" w:rsidR="007C4AB9" w:rsidRDefault="007C4AB9">
      <w:r>
        <w:continuationSeparator/>
      </w:r>
    </w:p>
  </w:footnote>
  <w:footnote w:id="1">
    <w:p w14:paraId="43FE0D8E" w14:textId="77777777" w:rsidR="00514E08" w:rsidRDefault="00514E08">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5D6"/>
    <w:rsid w:val="001220DB"/>
    <w:rsid w:val="001D3D44"/>
    <w:rsid w:val="002515D7"/>
    <w:rsid w:val="003A2AC4"/>
    <w:rsid w:val="003A7C25"/>
    <w:rsid w:val="004130EB"/>
    <w:rsid w:val="0046787E"/>
    <w:rsid w:val="004B7BE5"/>
    <w:rsid w:val="004D531E"/>
    <w:rsid w:val="004E29B3"/>
    <w:rsid w:val="004F4ECC"/>
    <w:rsid w:val="00505C27"/>
    <w:rsid w:val="005137A8"/>
    <w:rsid w:val="00514E08"/>
    <w:rsid w:val="00573191"/>
    <w:rsid w:val="00590D07"/>
    <w:rsid w:val="005F48CB"/>
    <w:rsid w:val="00611F54"/>
    <w:rsid w:val="00616BBF"/>
    <w:rsid w:val="00617698"/>
    <w:rsid w:val="006A32F8"/>
    <w:rsid w:val="006C526F"/>
    <w:rsid w:val="006C7E31"/>
    <w:rsid w:val="00733258"/>
    <w:rsid w:val="00784D58"/>
    <w:rsid w:val="007C4AB9"/>
    <w:rsid w:val="008C53A8"/>
    <w:rsid w:val="008D6863"/>
    <w:rsid w:val="009D1A14"/>
    <w:rsid w:val="00A13107"/>
    <w:rsid w:val="00A30E5D"/>
    <w:rsid w:val="00A971AE"/>
    <w:rsid w:val="00B4571B"/>
    <w:rsid w:val="00B86B75"/>
    <w:rsid w:val="00BC48D5"/>
    <w:rsid w:val="00BF449B"/>
    <w:rsid w:val="00C36279"/>
    <w:rsid w:val="00CB5980"/>
    <w:rsid w:val="00DB7A55"/>
    <w:rsid w:val="00E315A3"/>
    <w:rsid w:val="00EC07C2"/>
    <w:rsid w:val="00F5218B"/>
    <w:rsid w:val="00FC2A32"/>
    <w:rsid w:val="00FE52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F0C"/>
  <w15:docId w15:val="{19E1B6EE-7B2B-0E4F-B1A7-7D7F2FB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UnresolvedMention">
    <w:name w:val="Unresolved Mention"/>
    <w:basedOn w:val="DefaultParagraphFont"/>
    <w:uiPriority w:val="99"/>
    <w:semiHidden/>
    <w:unhideWhenUsed/>
    <w:rsid w:val="00573191"/>
    <w:rPr>
      <w:color w:val="605E5C"/>
      <w:shd w:val="clear" w:color="auto" w:fill="E1DFDD"/>
    </w:rPr>
  </w:style>
  <w:style w:type="paragraph" w:styleId="CommentText">
    <w:name w:val="annotation text"/>
    <w:basedOn w:val="Normal"/>
    <w:link w:val="CommentTextChar"/>
    <w:uiPriority w:val="99"/>
    <w:semiHidden/>
    <w:unhideWhenUsed/>
    <w:rsid w:val="00514E08"/>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514E08"/>
    <w:rPr>
      <w:rFonts w:ascii="Times New Roman" w:eastAsia="Times New Roman" w:hAnsi="Times New Roman" w:cs="Times New Roman"/>
      <w:sz w:val="20"/>
      <w:szCs w:val="20"/>
      <w:lang w:val="es-ES" w:eastAsia="en-GB"/>
    </w:rPr>
  </w:style>
  <w:style w:type="character" w:styleId="CommentReference">
    <w:name w:val="annotation reference"/>
    <w:basedOn w:val="DefaultParagraphFont"/>
    <w:semiHidden/>
    <w:unhideWhenUsed/>
    <w:rsid w:val="00A971AE"/>
    <w:rPr>
      <w:sz w:val="16"/>
      <w:szCs w:val="16"/>
    </w:rPr>
  </w:style>
  <w:style w:type="paragraph" w:styleId="CommentSubject">
    <w:name w:val="annotation subject"/>
    <w:basedOn w:val="CommentText"/>
    <w:next w:val="CommentText"/>
    <w:link w:val="CommentSubjectChar"/>
    <w:semiHidden/>
    <w:unhideWhenUsed/>
    <w:rsid w:val="00A971AE"/>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A971AE"/>
    <w:rPr>
      <w:rFonts w:ascii="Times New Roman" w:eastAsia="Times New Roman" w:hAnsi="Times New Roman" w:cs="Times New Roman"/>
      <w:b/>
      <w:bCs/>
      <w:sz w:val="20"/>
      <w:szCs w:val="20"/>
      <w:lang w:val="es-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4875">
      <w:bodyDiv w:val="1"/>
      <w:marLeft w:val="0"/>
      <w:marRight w:val="0"/>
      <w:marTop w:val="0"/>
      <w:marBottom w:val="0"/>
      <w:divBdr>
        <w:top w:val="none" w:sz="0" w:space="0" w:color="auto"/>
        <w:left w:val="none" w:sz="0" w:space="0" w:color="auto"/>
        <w:bottom w:val="none" w:sz="0" w:space="0" w:color="auto"/>
        <w:right w:val="none" w:sz="0" w:space="0" w:color="auto"/>
      </w:divBdr>
      <w:divsChild>
        <w:div w:id="2008438567">
          <w:marLeft w:val="480"/>
          <w:marRight w:val="0"/>
          <w:marTop w:val="0"/>
          <w:marBottom w:val="0"/>
          <w:divBdr>
            <w:top w:val="none" w:sz="0" w:space="0" w:color="auto"/>
            <w:left w:val="none" w:sz="0" w:space="0" w:color="auto"/>
            <w:bottom w:val="none" w:sz="0" w:space="0" w:color="auto"/>
            <w:right w:val="none" w:sz="0" w:space="0" w:color="auto"/>
          </w:divBdr>
          <w:divsChild>
            <w:div w:id="208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74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89">
          <w:marLeft w:val="480"/>
          <w:marRight w:val="0"/>
          <w:marTop w:val="0"/>
          <w:marBottom w:val="0"/>
          <w:divBdr>
            <w:top w:val="none" w:sz="0" w:space="0" w:color="auto"/>
            <w:left w:val="none" w:sz="0" w:space="0" w:color="auto"/>
            <w:bottom w:val="none" w:sz="0" w:space="0" w:color="auto"/>
            <w:right w:val="none" w:sz="0" w:space="0" w:color="auto"/>
          </w:divBdr>
          <w:divsChild>
            <w:div w:id="212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697">
      <w:bodyDiv w:val="1"/>
      <w:marLeft w:val="0"/>
      <w:marRight w:val="0"/>
      <w:marTop w:val="0"/>
      <w:marBottom w:val="0"/>
      <w:divBdr>
        <w:top w:val="none" w:sz="0" w:space="0" w:color="auto"/>
        <w:left w:val="none" w:sz="0" w:space="0" w:color="auto"/>
        <w:bottom w:val="none" w:sz="0" w:space="0" w:color="auto"/>
        <w:right w:val="none" w:sz="0" w:space="0" w:color="auto"/>
      </w:divBdr>
      <w:divsChild>
        <w:div w:id="425931702">
          <w:marLeft w:val="480"/>
          <w:marRight w:val="0"/>
          <w:marTop w:val="0"/>
          <w:marBottom w:val="0"/>
          <w:divBdr>
            <w:top w:val="none" w:sz="0" w:space="0" w:color="auto"/>
            <w:left w:val="none" w:sz="0" w:space="0" w:color="auto"/>
            <w:bottom w:val="none" w:sz="0" w:space="0" w:color="auto"/>
            <w:right w:val="none" w:sz="0" w:space="0" w:color="auto"/>
          </w:divBdr>
          <w:divsChild>
            <w:div w:id="91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microsoft.com/office/2016/09/relationships/commentsIds" Target="commentsIds.xml"/><Relationship Id="rId18" Type="http://schemas.openxmlformats.org/officeDocument/2006/relationships/hyperlink" Target="https://doi.org/10.1111/brv.1231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jperez@ugr.es" TargetMode="External"/><Relationship Id="rId12" Type="http://schemas.microsoft.com/office/2011/relationships/commentsExtended" Target="commentsExtended.xml"/><Relationship Id="rId17" Type="http://schemas.openxmlformats.org/officeDocument/2006/relationships/hyperlink" Target="https://onlinelibrary.wiley.com/doi/abs/10.1111/gcb.1489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foreco.2011.07.025" TargetMode="External"/><Relationship Id="rId20" Type="http://schemas.openxmlformats.org/officeDocument/2006/relationships/hyperlink" Target="https://doi.org/10.1046/j.1461-0248.2002.00297.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51/forest/2010031" TargetMode="External"/><Relationship Id="rId23" Type="http://schemas.openxmlformats.org/officeDocument/2006/relationships/fontTable" Target="fontTable.xml"/><Relationship Id="rId10" Type="http://schemas.openxmlformats.org/officeDocument/2006/relationships/hyperlink" Target="http://spei.csic.es/database.html" TargetMode="External"/><Relationship Id="rId19" Type="http://schemas.openxmlformats.org/officeDocument/2006/relationships/hyperlink" Target="http://doi.wiley.com/10.1002/ece3.1645"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doi.org/10.1111/jbi.12215"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22</Pages>
  <Words>9223</Words>
  <Characters>52572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subject/>
  <dc:creator>Antonio J.</dc:creator>
  <cp:keywords/>
  <dc:description/>
  <cp:lastModifiedBy>Antonio J.</cp:lastModifiedBy>
  <cp:revision>2</cp:revision>
  <dcterms:created xsi:type="dcterms:W3CDTF">2020-05-04T13:47:00Z</dcterms:created>
  <dcterms:modified xsi:type="dcterms:W3CDTF">2020-05-24T16:08:00Z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