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r>
        <w:t xml:space="preserve"> </w:t>
      </w:r>
      <w:r>
        <w:t xml:space="preserve">along</w:t>
      </w:r>
      <w:r>
        <w:t xml:space="preserve"> </w:t>
      </w:r>
      <w:r>
        <w:t xml:space="preserve">a</w:t>
      </w:r>
      <w:r>
        <w:t xml:space="preserve"> </w:t>
      </w:r>
      <w:r>
        <w:t xml:space="preserve">climatic</w:t>
      </w:r>
      <w:r>
        <w:t xml:space="preserve"> </w:t>
      </w:r>
      <w:r>
        <w:t xml:space="preserve">gradient</w:t>
      </w:r>
      <w:r>
        <w:t xml:space="preserve"> </w:t>
      </w:r>
      <w:r>
        <w:t xml:space="preserve">in</w:t>
      </w:r>
      <w:r>
        <w:t xml:space="preserve"> </w:t>
      </w:r>
      <w:r>
        <w:t xml:space="preserve">the</w:t>
      </w:r>
      <w:r>
        <w:t xml:space="preserve"> </w:t>
      </w:r>
      <w:r>
        <w:t xml:space="preserve">rear-edge</w:t>
      </w:r>
    </w:p>
    <w:p>
      <w:pPr>
        <w:pStyle w:val="Author"/>
      </w:pPr>
      <w:r>
        <w:t xml:space="preserve">A.J.</w:t>
      </w:r>
      <w:r>
        <w:t xml:space="preserve"> </w:t>
      </w:r>
      <w:r>
        <w:t xml:space="preserve">Perez-Luque</w:t>
      </w:r>
      <w:r>
        <w:rPr>
          <w:vertAlign w:val="superscript"/>
        </w:rPr>
        <w:t xml:space="preserve">1,2</w:t>
      </w:r>
      <w:r>
        <w:t xml:space="preserve">;</w:t>
      </w:r>
      <w:r>
        <w:t xml:space="preserve"> </w:t>
      </w:r>
      <w:r>
        <w:t xml:space="preserve">G.</w:t>
      </w:r>
      <w:r>
        <w:t xml:space="preserve"> </w:t>
      </w:r>
      <w:r>
        <w:t xml:space="preserve">Gea-Izquierdo</w:t>
      </w:r>
      <w:r>
        <w:rPr>
          <w:vertAlign w:val="superscript"/>
        </w:rPr>
        <w:t xml:space="preserve">3</w:t>
      </w:r>
      <w:r>
        <w:t xml:space="preserve"> </w:t>
      </w:r>
      <w:r>
        <w:t xml:space="preserve">and</w:t>
      </w:r>
      <w:r>
        <w:t xml:space="preserve"> </w:t>
      </w:r>
      <w:r>
        <w:t xml:space="preserve">Zamora,</w:t>
      </w:r>
      <w:r>
        <w:t xml:space="preserve"> </w:t>
      </w:r>
      <w:r>
        <w:t xml:space="preserve">R.</w:t>
      </w:r>
      <w:r>
        <w:rPr>
          <w:vertAlign w:val="superscript"/>
        </w:rPr>
        <w:t xml:space="preserve">1,2</w:t>
      </w:r>
    </w:p>
    <w:p>
      <w:pPr>
        <w:pStyle w:val="Ttulo2"/>
      </w:pPr>
      <w:bookmarkStart w:id="20" w:name="short-title-resilience-of-relict-oaks-in-the-rear-edge-maximo-45-caracteres"/>
      <w:r>
        <w:rPr>
          <w:b/>
        </w:rPr>
        <w:t xml:space="preserve">Short Title</w:t>
      </w:r>
      <w:r>
        <w:t xml:space="preserve">: Resilience of relict oaks in the rear-edge (máximo 45 caracteres)</w:t>
      </w:r>
      <w:bookmarkEnd w:id="20"/>
    </w:p>
    <w:p>
      <w:pPr>
        <w:pStyle w:val="FirstParagraph"/>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tulo2"/>
      </w:pPr>
      <w:bookmarkStart w:id="21" w:name="author-contributions"/>
      <w:r>
        <w:rPr>
          <w:b/>
        </w:rPr>
        <w:t xml:space="preserve">Author Contributions</w:t>
      </w:r>
      <w:bookmarkEnd w:id="21"/>
    </w:p>
    <w:p>
      <w:pPr>
        <w:pStyle w:val="FirstParagraph"/>
      </w:pPr>
      <w:r>
        <w:t xml:space="preserve">AJPL conceived and desing the study. AJPL and GGI conducted lab work and led article preparation.</w:t>
      </w:r>
      <w:r>
        <w:t xml:space="preserve"> </w:t>
      </w:r>
      <w:r>
        <w:t xml:space="preserve">AJPL, GGI and RZ conducted field work, collect the data and contribute to writing and editing the manuscript. All authors contribute to the drafts and gave final approval for publication.</w:t>
      </w:r>
    </w:p>
    <w:p>
      <w:pPr>
        <w:pStyle w:val="Ttulo1"/>
      </w:pPr>
      <w:bookmarkStart w:id="22" w:name="abstract-369"/>
      <w:r>
        <w:t xml:space="preserve">Abstract (369)</w:t>
      </w:r>
      <w:bookmarkEnd w:id="22"/>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growth estimates and MODIS satellite images as proxies for secondary and primary growth respectively.</w:t>
      </w:r>
    </w:p>
    <w:p>
      <w:pPr>
        <w:numPr>
          <w:numId w:val="1001"/>
          <w:ilvl w:val="0"/>
        </w:numPr>
      </w:pPr>
      <w:r>
        <w:t xml:space="preserve">Past intense land-use in the studied populations were likey expressed by disturbance chronologiess, hence</w:t>
      </w:r>
      <w:r>
        <w:t xml:space="preserve"> </w:t>
      </w:r>
      <w:r>
        <w:t xml:space="preserve">partly reflecting the origin of the current forest structure and land-use legacies. Trees expressed a high sensitivity to drought. Both resilience indices of primary and secondary growth expressed that trees showed high resilience both to recent drought events and also to long-term climatic changes (</w:t>
      </w:r>
      <w:r>
        <w:rPr>
          <w:i/>
        </w:rPr>
        <w:t xml:space="preserve">i.e.</w:t>
      </w:r>
      <w:r>
        <w:t xml:space="preserve"> </w:t>
      </w:r>
      <w:r>
        <w:t xml:space="preserve">warming). This would contradict the</w:t>
      </w:r>
      <w:r>
        <w:t xml:space="preserve"> </w:t>
      </w:r>
      <w:r>
        <w:rPr>
          <w:i/>
        </w:rPr>
        <w:t xml:space="preserve">a priori</w:t>
      </w:r>
      <w:r>
        <w:t xml:space="preserve"> </w:t>
      </w:r>
      <w:r>
        <w:t xml:space="preserve">vulnerability that we expected in respone to climate change of the studied relict stands at the species current rear-edge. Yet, there was variation in the response to climate and resilience following a water-stress gradiente along our three studied forests. We found a positive growth trend that was strongest in the high elevation stand and non-significant in the most xeric site (or the most transformed???) since the end of the 1970s matching the simultaneous increase in temperature observed.</w:t>
      </w:r>
    </w:p>
    <w:p>
      <w:pPr>
        <w:numPr>
          <w:numId w:val="1001"/>
          <w:ilvl w:val="0"/>
        </w:numPr>
      </w:pPr>
      <w:r>
        <w:t xml:space="preserve">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 trees showed high resilience in response to drought. Yet, there were a divergent response to a changing climate along very short climatic gradients. The oaks were more sensitive to water availability expressed at the most xeric sites whereas they exhibited positive growth trends only in the coldest and more humid stands. These results suggest that stand dynamics, particularly at the lowest elevations (</w:t>
      </w:r>
      <w:r>
        <w:rPr>
          <w:i/>
        </w:rPr>
        <w:t xml:space="preserve">i.e.</w:t>
      </w:r>
      <w:r>
        <w:t xml:space="preserve"> </w:t>
      </w:r>
      <w:r>
        <w:t xml:space="preserve">the altitudinal rear-edge), need to be monitored under future expected drier and warmer climatic scenarios bearing in mind that management legacies likely play a key role in current stand dynamics.</w:t>
      </w:r>
    </w:p>
    <w:p>
      <w:pPr>
        <w:pStyle w:val="Ttulo2"/>
      </w:pPr>
      <w:bookmarkStart w:id="23" w:name="keywords"/>
      <w:r>
        <w:t xml:space="preserve">keywords</w:t>
      </w:r>
      <w:bookmarkEnd w:id="23"/>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2"/>
      </w:pPr>
      <w:bookmarkStart w:id="24" w:name="manuscript-highlights"/>
      <w:r>
        <w:t xml:space="preserve">Manuscript highlights</w:t>
      </w:r>
      <w:bookmarkEnd w:id="24"/>
    </w:p>
    <w:p>
      <w:pPr>
        <w:pStyle w:val="Compact"/>
        <w:numPr>
          <w:numId w:val="1002"/>
          <w:ilvl w:val="0"/>
        </w:numPr>
      </w:pPr>
      <w:r>
        <w:t xml:space="preserve">H1</w:t>
      </w:r>
    </w:p>
    <w:p>
      <w:pPr>
        <w:pStyle w:val="Compact"/>
        <w:numPr>
          <w:numId w:val="1002"/>
          <w:ilvl w:val="0"/>
        </w:numPr>
      </w:pPr>
      <w:r>
        <w:t xml:space="preserve">H2 %&gt;% %&gt;%</w:t>
      </w:r>
    </w:p>
    <w:p>
      <w:pPr>
        <w:pStyle w:val="Compact"/>
        <w:numPr>
          <w:numId w:val="1002"/>
          <w:ilvl w:val="0"/>
        </w:numPr>
      </w:pPr>
      <w:r>
        <w:t xml:space="preserve">H3</w:t>
      </w:r>
    </w:p>
    <w:p>
      <w:pPr>
        <w:pStyle w:val="FirstParagraph"/>
      </w:pPr>
      <w:r>
        <w:t xml:space="preserve">Provide three bullets (up to 85 characters for each, including spaces) that highlight the important contributions of your study for a general reader.</w:t>
      </w:r>
    </w:p>
    <w:p>
      <w:pPr>
        <w:pStyle w:val="Ttulo1"/>
      </w:pPr>
      <w:bookmarkStart w:id="25" w:name="introduction"/>
      <w:r>
        <w:t xml:space="preserve">Introduction</w:t>
      </w:r>
      <w:bookmarkEnd w:id="25"/>
    </w:p>
    <w:p>
      <w:pPr>
        <w:pStyle w:val="FirstParagraph"/>
      </w:pPr>
      <w:r>
        <w:t xml:space="preserve">Intense drought is one of the most frequent and widespread climatic extremes affecting ecological systems worldwide and is considered a key feature of Mediterranean climate</w:t>
      </w:r>
      <w:r>
        <w:t xml:space="preserve"> </w:t>
      </w:r>
      <w:r>
        <w:t xml:space="preserve">(Dai 2011)</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2014b; Stagge and others 2017)</w:t>
      </w:r>
      <w:r>
        <w:t xml:space="preserve">. This is especially critical, since the climate change projections for the Mediterranean area forecast that climate extreme events, like droughts, will become more frequent and severe</w:t>
      </w:r>
      <w:r>
        <w:t xml:space="preserve"> </w:t>
      </w:r>
      <w:r>
        <w:t xml:space="preserve">(Spinoni and others 2017)</w:t>
      </w:r>
      <w:r>
        <w:t xml:space="preserve">.</w:t>
      </w:r>
    </w:p>
    <w:p>
      <w:pPr>
        <w:pStyle w:val="Textodecuerpo"/>
      </w:pPr>
      <w:r>
        <w:t xml:space="preserve">Drought causes significant changes in ecosystem productivity and water dynamics that can severely affect forests through changes in plant physiology, phenology and carbon allocation. The assessment of the drought impacts on ecosystems has gained attention in the last decades</w:t>
      </w:r>
      <w:r>
        <w:t xml:space="preserve"> </w:t>
      </w:r>
      <w:r>
        <w:t xml:space="preserve">(Allen and others 2010; Clark and others 2016)</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(Peñuelas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It becomes even more important for relict populations driven by historical land-uses, which can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Mediterranean tree species representing the southernmost limit of their distribution</w:t>
      </w:r>
      <w:r>
        <w:t xml:space="preserve"> </w:t>
      </w:r>
      <w:r>
        <w:t xml:space="preserve">(</w:t>
      </w:r>
      <w:r>
        <w:rPr>
          <w:i/>
        </w:rPr>
        <w:t xml:space="preserve">e.g.</w:t>
      </w:r>
      <w:r>
        <w:t xml:space="preserve">, Sánchez-Salguero and others 2012; Dorado-Liñán and others 2017b; Caminero and others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The resilience to drought of species is better assessed when several aproacches like remote sensing and dendrocronology are combined simultaneously. Dendroecological estimates of growth (</w:t>
      </w:r>
      <w:r>
        <w:rPr>
          <w:i/>
        </w:rPr>
        <w:t xml:space="preserve">i.e.</w:t>
      </w:r>
      <w:r>
        <w:t xml:space="preserve"> </w:t>
      </w:r>
      <w:r>
        <w:t xml:space="preserve">tree-ring width) are a widely used proxy to study tree vitality</w:t>
      </w:r>
      <w:r>
        <w:t xml:space="preserve"> </w:t>
      </w:r>
      <w:r>
        <w:t xml:space="preserve">(Fritts 1976;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w:t>
      </w:r>
      <w:r>
        <w:t xml:space="preserve"> </w:t>
      </w:r>
      <w:r>
        <w:t xml:space="preserve">(</w:t>
      </w:r>
      <w:r>
        <w:rPr>
          <w:i/>
        </w:rPr>
        <w:t xml:space="preserve">e.g.</w:t>
      </w:r>
      <w:r>
        <w:t xml:space="preserve"> </w:t>
      </w:r>
      <w:r>
        <w:t xml:space="preserve">Zhang and others 2013)</w:t>
      </w:r>
      <w:r>
        <w:t xml:space="preserve">. Vegetation indices obtained from satellite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and others 2013)</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(Gouveia and others 2017)</w:t>
      </w:r>
      <w:r>
        <w:t xml:space="preserve">.</w:t>
      </w:r>
    </w:p>
    <w:p>
      <w:pPr>
        <w:pStyle w:val="Textodecuerpo"/>
      </w:pPr>
      <w:r>
        <w:t xml:space="preserve">Vegetation responses to drought requires of integrative and multidisciplinary strategies for assessing the impacts of disturbances on forest at several scales</w:t>
      </w:r>
      <w:r>
        <w:t xml:space="preserve"> </w:t>
      </w:r>
      <w:r>
        <w:t xml:space="preserve">(Hartmann and others 2018)</w:t>
      </w:r>
      <w:r>
        <w:t xml:space="preserve">. Several works assessed vegetation responses in term of resistance and resilience to drought events highlithg a stronger reponse of tree-ring (tree-level) to drought variability compared to the greenness (ecosystem-level)</w:t>
      </w:r>
      <w:r>
        <w:t xml:space="preserve"> </w:t>
      </w:r>
      <w:r>
        <w:t xml:space="preserve">(</w:t>
      </w:r>
      <w:r>
        <w:rPr>
          <w:i/>
        </w:rPr>
        <w:t xml:space="preserve">e.g.</w:t>
      </w:r>
      <w:r>
        <w:t xml:space="preserve"> </w:t>
      </w:r>
      <w:r>
        <w:t xml:space="preserve">Peña-Gallardo and others 2018; Gazol and others 2018)</w:t>
      </w:r>
      <w:r>
        <w:t xml:space="preserve">. Nonetheless, is crucial to know if the responses at the tree level differ from responses at the ecosystem level, particularly in rear edge populations.</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on southern relict forests at the rear-edge of species distribution and where species performance is considered to be threatened by climate change. We also assessed the resilience of these forests both to several extreme drought episodes and to climate change in the long-term in the last decades. Our main hypothesis is that these relict populations driven by historical land-use at their present climatic (either altitudinal or latitudinal) rear-edge are particularly vulnerable to climate change, and hence they will show lower-values of resilience after several extreme drought only at the dry edge of climatic gradients. To address this hyphotesis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along climatic gradients. To achieve goal (</w:t>
      </w:r>
      <w:r>
        <w:rPr>
          <w:i/>
        </w:rPr>
        <w:t xml:space="preserve">iii</w:t>
      </w:r>
      <w:r>
        <w:t xml:space="preserve">) within the region of study we assessed whether the effect of aspect and microclimatic conditions expressed in northern and southern populations of Pyrenean oak forests differ in their resistance, resilience and recovery to extreme drought events.</w:t>
      </w:r>
    </w:p>
    <w:p>
      <w:pPr>
        <w:pStyle w:val="Ttulo1"/>
      </w:pPr>
      <w:bookmarkStart w:id="26" w:name="materials-and-methods"/>
      <w:r>
        <w:t xml:space="preserve">Materials and methods</w:t>
      </w:r>
      <w:bookmarkEnd w:id="26"/>
    </w:p>
    <w:p>
      <w:pPr>
        <w:pStyle w:val="Ttulo2"/>
      </w:pPr>
      <w:bookmarkStart w:id="27" w:name="tree-species-and-study-site"/>
      <w:r>
        <w:t xml:space="preserve">Tree species and study site</w:t>
      </w:r>
      <w:bookmarkEnd w:id="27"/>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requires over 650 mm of annual precipitation and a summer minimal precipitation between 100 and 200 mm. Summer rainfall is a key factor for the species, which is considered to have low drought tolerance compared to genuine evergreen Mediterranean taxa</w:t>
      </w:r>
      <w:r>
        <w:t xml:space="preserve"> </w:t>
      </w:r>
      <w:r>
        <w:t xml:space="preserve">(Río and others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and others 2002; Olalde and others 2002)</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relictic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and others 2000)</w:t>
      </w:r>
      <w:r>
        <w:t xml:space="preserve"> </w:t>
      </w:r>
      <w:r>
        <w:t xml:space="preserve">and they are expected to suffer the impact of climate change, reducting its suitable habitats in the rear-edge</w:t>
      </w:r>
      <w:r>
        <w:t xml:space="preserve"> </w:t>
      </w:r>
      <w:r>
        <w:t xml:space="preserve">(Gea-Izquierdo and others 2013)</w:t>
      </w:r>
      <w:r>
        <w:t xml:space="preserve">.</w:t>
      </w:r>
    </w:p>
    <w:p>
      <w:pPr>
        <w:pStyle w:val="Ttulo2"/>
      </w:pPr>
      <w:bookmarkStart w:id="28" w:name="drought-episodes"/>
      <w:r>
        <w:t xml:space="preserve">Drought episodes</w:t>
      </w:r>
      <w:bookmarkEnd w:id="28"/>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and others 2014b)</w:t>
      </w:r>
      <w:r>
        <w:t xml:space="preserve">.The 2005 and 2012 drought events have been documented among the worst droughts in the last decades for the southern Iberian Peninsula</w:t>
      </w:r>
      <w:r>
        <w:t xml:space="preserve"> </w:t>
      </w:r>
      <w:r>
        <w:t xml:space="preserve">(García-Herrera and others 2007; 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29">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the threshold for at least two consecutive months.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w:t>
      </w:r>
    </w:p>
    <w:p>
      <w:pPr>
        <w:pStyle w:val="Ttulo2"/>
      </w:pPr>
      <w:bookmarkStart w:id="30" w:name="greenness-data"/>
      <w:r>
        <w:t xml:space="preserve">Greenness data</w:t>
      </w:r>
      <w:bookmarkEnd w:id="30"/>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w:t>
      </w:r>
      <w:r>
        <w:rPr>
          <w:i/>
        </w:rPr>
        <w:t xml:space="preserve">Moderate Resolution Imaging Spectroradiometer</w:t>
      </w:r>
      <w:r>
        <w:t xml:space="preserve">) sensor. MODIS EVI Data (Collection 6) were obtanied for the period 2000 - 2016. EVI data consits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r>
          <m:t>I</m:t>
        </m:r>
        <m:r>
          <m:t> </m:t>
        </m:r>
        <m:r>
          <m:t>s</m:t>
        </m:r>
        <m:r>
          <m:t>a</m:t>
        </m:r>
        <m:r>
          <m:t>&gt;</m:t>
        </m:r>
        <m:r>
          <m:t>1</m:t>
        </m:r>
      </m:oMath>
      <w:r>
        <w:t xml:space="preserve">),</w:t>
      </w:r>
      <w:r>
        <w:t xml:space="preserve"> </w:t>
      </w:r>
      <w:r>
        <w:t xml:space="preserve">“</w:t>
      </w:r>
      <w:r>
        <w:t xml:space="preserve">browning</w:t>
      </w:r>
      <w:r>
        <w:t xml:space="preserve">”</w:t>
      </w:r>
      <w:r>
        <w:t xml:space="preserve"> </w:t>
      </w:r>
      <w:r>
        <w:t xml:space="preserve">(</w:t>
      </w:r>
      <m:oMath>
        <m:r>
          <m:t>E</m:t>
        </m:r>
        <m:r>
          <m:t>V</m:t>
        </m:r>
        <m:r>
          <m:t>I</m:t>
        </m:r>
        <m:r>
          <m:t> </m:t>
        </m:r>
        <m:r>
          <m:t>s</m:t>
        </m:r>
        <m:r>
          <m:t>a</m:t>
        </m:r>
        <m:r>
          <m:t>&lt;</m:t>
        </m:r>
        <m:r>
          <m:t>−</m:t>
        </m:r>
        <m:r>
          <m:t>1</m:t>
        </m:r>
      </m:oMath>
      <w:r>
        <w:t xml:space="preserve">) or</w:t>
      </w:r>
      <w:r>
        <w:t xml:space="preserve"> </w:t>
      </w:r>
      <w:r>
        <w:t xml:space="preserve">“</w:t>
      </w:r>
      <w:r>
        <w:t xml:space="preserve">no changes</w:t>
      </w:r>
      <w:r>
        <w:t xml:space="preserve">”</w:t>
      </w:r>
      <w:r>
        <w:t xml:space="preserve"> </w:t>
      </w:r>
      <w:r>
        <w:t xml:space="preserve">(</w:t>
      </w:r>
      <m:oMath>
        <m:r>
          <m:t>−</m:t>
        </m:r>
        <m:r>
          <m:t>1</m:t>
        </m:r>
        <m:r>
          <m:t>&gt;</m:t>
        </m:r>
        <m:r>
          <m:t>E</m:t>
        </m:r>
        <m:r>
          <m:t>V</m:t>
        </m:r>
        <m:r>
          <m:t>I</m:t>
        </m:r>
        <m:r>
          <m:t> </m:t>
        </m:r>
        <m:r>
          <m:t>s</m:t>
        </m:r>
        <m:r>
          <m:t>a</m:t>
        </m:r>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2"/>
      </w:pPr>
      <w:bookmarkStart w:id="31" w:name="field-sampling-and-dendrochronological-methods"/>
      <w:r>
        <w:t xml:space="preserve">Field sampling and dendrochronological methods</w:t>
      </w:r>
      <w:bookmarkEnd w:id="31"/>
    </w:p>
    <w:p>
      <w:pPr>
        <w:pStyle w:val="FirstParagraph"/>
      </w:pPr>
      <w:r>
        <w:t xml:space="preserve">Tree sampling was carried out during autumn 2016. Trees were sampled at two locations in contrasting N-S slopes of Sierra Nevada: San Juan (SJ), a xeric site located at northern aspect; and Cáñar (CA), a humid but warmer site located at the southern aspect (Figure 1; Table 1). For the southern site two elevations were sampled: CA-Low and CA-High, which constitutes the current altitudinal rear-edge (CA-Low) and tree-line (CA-High), respectively in the sampled slope. Sampling sites follow a moisture gradient: SJ &lt; CA-Low &lt; Ca-High (Table 1). All the sites were oak monospecific and representatives of the population clusters identified for the species in this mountain range</w:t>
      </w:r>
      <w:r>
        <w:t xml:space="preserve"> </w:t>
      </w:r>
      <w:r>
        <w:t xml:space="preserve">(Pérez-Luque and others 2015a)</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Differences between sites for height, DBH and competition indices were analysed using non-parametric Kruskal-Wallis rank sum tests. When significant differences were observed, we run multiple comparisons using the Dunn’s-test with Bonferroni adjustment to correct significance values.</w:t>
      </w:r>
    </w:p>
    <w:p>
      <w:pPr>
        <w:pStyle w:val="Textodecuerpo"/>
      </w:pPr>
      <w:r>
        <w:t xml:space="preserve">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w:t>
      </w:r>
    </w:p>
    <w:p>
      <w:pPr>
        <w:pStyle w:val="Ttulo3"/>
      </w:pPr>
      <w:bookmarkStart w:id="32" w:name="climate-and-growth"/>
      <w:r>
        <w:t xml:space="preserve">Climate and growth</w:t>
      </w:r>
      <w:bookmarkEnd w:id="32"/>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The Standardized Precipitation-Evapotranspiration Index (SPEI) with a temporal scale of 6 months was used to characterize the drought conditions for the period 1961-2014.</w:t>
      </w:r>
    </w:p>
    <w:p>
      <w:pPr>
        <w:pStyle w:val="Textodecuerpo"/>
      </w:pPr>
      <w:r>
        <w:t xml:space="preserve">Relationships between residual site chronologies and climatic variables were assessed ussing bootstrapped Pearson’s correlations estimated using</w:t>
      </w:r>
      <w:r>
        <w:t xml:space="preserve"> </w:t>
      </w:r>
      <w:r>
        <w:rPr>
          <w:rStyle w:val="VerbatimChar"/>
        </w:rPr>
        <w:t xml:space="preserve">treeclim</w:t>
      </w:r>
      <w:r>
        <w:t xml:space="preserve"> </w:t>
      </w:r>
      <w:r>
        <w:t xml:space="preserve">package</w:t>
      </w:r>
      <w:r>
        <w:t xml:space="preserve"> </w:t>
      </w:r>
      <w:r>
        <w:t xml:space="preserve">(Zang and Biondi 2015)</w:t>
      </w:r>
      <w:r>
        <w:t xml:space="preserve">.</w:t>
      </w:r>
    </w:p>
    <w:p>
      <w:pPr>
        <w:pStyle w:val="Ttulo3"/>
      </w:pPr>
      <w:bookmarkStart w:id="33" w:name="disturbance-analyses"/>
      <w:r>
        <w:t xml:space="preserve">Disturbance analyses</w:t>
      </w:r>
      <w:bookmarkEnd w:id="33"/>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w:t>
      </w:r>
      <w:r>
        <w:t xml:space="preserve">. 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and managment history of our sampling sites was inferred from a detailed analysis of historical land-use changes. For this purpose, an exhaustive review of historical documents was done to compile information about socio-economical activities affecting forest (Table S4).</w:t>
      </w:r>
    </w:p>
    <w:p>
      <w:pPr>
        <w:pStyle w:val="Ttulo2"/>
      </w:pPr>
      <w:bookmarkStart w:id="34" w:name="assessing-ecosystem-and-tree-individual-resilience-to-drought"/>
      <w:r>
        <w:t xml:space="preserve">Assessing ecosystem and tree individual resilience to drought</w:t>
      </w:r>
      <w:bookmarkEnd w:id="34"/>
    </w:p>
    <w:p>
      <w:pPr>
        <w:pStyle w:val="FirstParagraph"/>
      </w:pPr>
      <w:r>
        <w:t xml:space="preserve">To evaluate the effects of drougth events on ecosystem resilience (using greeennes data) and tree individual resilience (using BAI growth data)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estimated as the ratio between the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w:t>
      </w:r>
      <w:r>
        <w:t xml:space="preserve"> </w:t>
      </w: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2018)</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pPr>
        <w:pStyle w:val="Ttulo2"/>
      </w:pPr>
      <w:bookmarkStart w:id="35" w:name="statistical-analysis"/>
      <w:r>
        <w:t xml:space="preserve">Statistical analysis</w:t>
      </w:r>
      <w:bookmarkEnd w:id="35"/>
    </w:p>
    <w:p>
      <w:pPr>
        <w:pStyle w:val="FirstParagraph"/>
      </w:pPr>
      <w:r>
        <w:t xml:space="preserve">For each of the three resilience indices studied, robust two-way ANOVAs were used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1"/>
      </w:pPr>
      <w:bookmarkStart w:id="36" w:name="results"/>
      <w:r>
        <w:t xml:space="preserve">Results</w:t>
      </w:r>
      <w:bookmarkEnd w:id="36"/>
    </w:p>
    <w:p>
      <w:pPr>
        <w:pStyle w:val="Ttulo2"/>
      </w:pPr>
      <w:bookmarkStart w:id="37" w:name="time-trends-in-vegetation-greenness"/>
      <w:r>
        <w:t xml:space="preserve">Time trends in vegetation greenness</w:t>
      </w:r>
      <w:bookmarkEnd w:id="37"/>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The lowest values of EVI standardized anomalies for the studied period were recorded during the 2005 drought, and the minimum EVI values were expressed in northern (dry)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whereas no changes in greenness were observed in response to the 2012 drought (Figure 3).</w:t>
      </w:r>
    </w:p>
    <w:p>
      <w:pPr>
        <w:pStyle w:val="Ttulo2"/>
      </w:pPr>
      <w:bookmarkStart w:id="38" w:name="analysis-of-radial-growth-trends-and-disturbances"/>
      <w:r>
        <w:t xml:space="preserve">Analysis of radial growth trends and disturbances</w:t>
      </w:r>
      <w:bookmarkEnd w:id="38"/>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4). Both growth and height of trees from the northern and the low-elevation southern population were similar (Figures 4 and S6). Competition was similar among all sites. Yet plot basal area was greatest in CA-High (Table 1), despite the highest individual BAI growth at that site (Figure 4). Only trees from the southern sites showed significant positive growth trends since the late 1970s (Figure 4), being more pronunced for the highest site (CA-High).</w:t>
      </w:r>
    </w:p>
    <w:p>
      <w:pPr>
        <w:pStyle w:val="Textodecuerpo"/>
      </w:pPr>
      <w:r>
        <w:t xml:space="preserve">Drought events produced reduction of RWI for all sites (Figure S3), being particularly evident the negative effect of the 1995 drought, when the greatest reduction of tree-growth were recorded for all chronologies. The southern sites (CA-High and CA-Low) showed weaker reductions of tree-growth than the northern site (SJ), especially for 2005 and 2012 (Figure S3). Tree-growth reduction followed a moisture-gradient, being weaker for the wetter site (CA-High). Trees from northern site also suffered a great reduction during 1945-1946 drought event (Figure 5).</w:t>
      </w:r>
    </w:p>
    <w:p>
      <w:pPr>
        <w:pStyle w:val="Textodecuerpo"/>
      </w:pPr>
      <w:r>
        <w:t xml:space="preserve">The northern site (SJ) showed two major release events (GC &gt; 50 % occurring in more than 50 % of sampled trees): the first during the 1940 decade (the most evindent) and the second in the period 1995-2000. These periods alternate with periods of supression for over 40 years. The two southern sites showed no release events except for CA-High at the beginning of the 1830s and no suppression events in the last 50 years.</w:t>
      </w:r>
    </w:p>
    <w:p>
      <w:pPr>
        <w:pStyle w:val="Ttulo2"/>
      </w:pPr>
      <w:bookmarkStart w:id="39" w:name="resilience-to-drought-events-at-the-ecosystem-and-individual-tree-levels"/>
      <w:r>
        <w:t xml:space="preserve">Resilience to drought events at the ecosystem and individual tree levels</w:t>
      </w:r>
      <w:bookmarkEnd w:id="39"/>
    </w:p>
    <w:p>
      <w:pPr>
        <w:pStyle w:val="FirstParagraph"/>
      </w:pPr>
      <w:r>
        <w:t xml:space="preserve">The exploration of the resilience metrics of tree-growth for severe drought events since 1950 (</w:t>
      </w:r>
      <w:r>
        <w:rPr>
          <w:i/>
        </w:rPr>
        <w:t xml:space="preserve">i.e.</w:t>
      </w:r>
      <w:r>
        <w:t xml:space="preserve"> </w:t>
      </w:r>
      <w:r>
        <w:t xml:space="preserve">for the share period among the three chronologies, excluding juvenile years, Table S3) revealed a positive relation between drought severity and Recovery (</w:t>
      </w:r>
      <w:r>
        <w:rPr>
          <w:i/>
        </w:rPr>
        <w:t xml:space="preserve">Rc</w:t>
      </w:r>
      <w:r>
        <w:t xml:space="preserve">), significant for all oak populations (Figure 6). A similar pattern was obtained for Resilience (</w:t>
      </w:r>
      <w:r>
        <w:rPr>
          <w:i/>
        </w:rPr>
        <w:t xml:space="preserve">Rs</w:t>
      </w:r>
      <w:r>
        <w:t xml:space="preserve">) but only significant for SJ site (Figure 6). Non-significant patterns were obtained if we exclude 1995 from the analysis (Figure S8). Trees showed the highest value of tree-growth resilience for 1995, the worst drought event in our study area (Table S3), and particularly SJ, where our results suggest a major release event after 1995 (Figure 5).</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but the two metrics of resilience generally covaried in the same direction.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The two southern populations showed lower values for Recovery (</w:t>
      </w:r>
      <w:r>
        <w:rPr>
          <w:i/>
        </w:rPr>
        <w:t xml:space="preserve">Rc</w:t>
      </w:r>
      <w:r>
        <w:t xml:space="preserve">) than the northern site both for greenness and tree-growth (Tables S1 and S2). In contrast, Resistance and Resilience values were significantly higher for southern sites than for northern ones (Tables S1 and S2).</w:t>
      </w:r>
    </w:p>
    <w:p>
      <w:pPr>
        <w:pStyle w:val="Ttulo2"/>
      </w:pPr>
      <w:bookmarkStart w:id="40" w:name="tree-growth-response-to-climate"/>
      <w:r>
        <w:t xml:space="preserve">Tree-growth response to climate</w:t>
      </w:r>
      <w:bookmarkEnd w:id="40"/>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being this relationship higher in the northern population (r &gt; 0.6</w:t>
      </w:r>
      <w:r>
        <w:t xml:space="preserve"> </w:t>
      </w:r>
      <w:r>
        <w:rPr>
          <w:i/>
        </w:rPr>
        <w:t xml:space="preserve">vs.</w:t>
      </w:r>
      <w:r>
        <w:t xml:space="preserve"> </w:t>
      </w:r>
      <w:r>
        <w:t xml:space="preserve">r &lt; 0.5).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1" w:name="discussion"/>
      <w:r>
        <w:t xml:space="preserve">Discussion</w:t>
      </w:r>
      <w:bookmarkEnd w:id="41"/>
    </w:p>
    <w:p>
      <w:pPr>
        <w:pStyle w:val="Ttulo2"/>
      </w:pPr>
      <w:bookmarkStart w:id="42" w:name="rear-edge-oaks-show-high-resilience-in-response-both-to-recent-drought-events-and-long-term-climatic-variability."/>
      <w:r>
        <w:t xml:space="preserve">Rear-edge oaks show high resilience in response both to recent drought events and long-term climatic variability.</w:t>
      </w:r>
      <w:bookmarkEnd w:id="42"/>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and others 2006; Gea-Izquierdo and Cañellas 2014)</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and others 2001; Gazol and others 2018)</w:t>
      </w:r>
      <w:r>
        <w:t xml:space="preserve">.</w:t>
      </w:r>
      <w:r>
        <w:t xml:space="preserve"> </w:t>
      </w: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García-Herrera and others 2007; Trigo and others 2013; Vicente-Serrano and others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and others 2015b)</w:t>
      </w:r>
      <w:r>
        <w:t xml:space="preserve">, being the most productive ecosystems in this mountain region during that period</w:t>
      </w:r>
      <w:r>
        <w:t xml:space="preserve"> </w:t>
      </w:r>
      <w:r>
        <w:t xml:space="preserve">(Alcaraz-Segura and others 2016)</w:t>
      </w:r>
      <w:r>
        <w:t xml:space="preserve">. For tree-growth, we also observed positive trends in the last decades, particularly for the southern high-elevation site (CA-High, Figure 4). Similar long-term trends were described for this species along its distribution range</w:t>
      </w:r>
      <w:r>
        <w:t xml:space="preserve"> </w:t>
      </w:r>
      <w:r>
        <w:t xml:space="preserve">(Gea-Izquierdo and Cañellas 2014)</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 (Figure S7). Our results are in line with recently studies that indicate the timing of the drought as a key factor determining tree recovery after drought</w:t>
      </w:r>
      <w:r>
        <w:t xml:space="preserve"> </w:t>
      </w:r>
      <w:r>
        <w:t xml:space="preserve">(Huang and others 2018)</w:t>
      </w:r>
      <w:r>
        <w:t xml:space="preserve">, that also has been observed for other Mediterranean oak species</w:t>
      </w:r>
      <w:r>
        <w:t xml:space="preserve"> </w:t>
      </w:r>
      <w:r>
        <w:t xml:space="preserve">(</w:t>
      </w:r>
      <w:r>
        <w:rPr>
          <w:i/>
        </w:rPr>
        <w:t xml:space="preserve">e.g.</w:t>
      </w:r>
      <w:r>
        <w:t xml:space="preserve"> </w:t>
      </w:r>
      <w:r>
        <w:t xml:space="preserve">Holm oak; Camarero and others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and others 2012; Camarero and others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shown that the assumed higher vulnerability of dry edges does not necessarily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 key consideration for rear-edge populations is the different ways in which marginality can be defined,</w:t>
      </w:r>
      <w:r>
        <w:t xml:space="preserve"> </w:t>
      </w:r>
      <w:r>
        <w:rPr>
          <w:i/>
        </w:rPr>
        <w:t xml:space="preserve">i.e.</w:t>
      </w:r>
      <w:r>
        <w:t xml:space="preserve"> </w:t>
      </w:r>
      <w:r>
        <w:t xml:space="preserve">if it is defined according to geographic, climatic criteria, or according to other ecological factors</w:t>
      </w:r>
      <w:r>
        <w:t xml:space="preserve"> </w:t>
      </w:r>
      <w:r>
        <w:t xml:space="preserve">(Martínez-Vilalta 2018)</w:t>
      </w:r>
      <w:r>
        <w:t xml:space="preserve">. In this sense, the high values of resilience to the drought events that we have observed, could suggest that the populations of</w:t>
      </w:r>
      <w:r>
        <w:t xml:space="preserve"> </w:t>
      </w:r>
      <w:r>
        <w:rPr>
          <w:i/>
        </w:rPr>
        <w:t xml:space="preserve">Q. pyrenaica</w:t>
      </w:r>
      <w:r>
        <w:t xml:space="preserve"> </w:t>
      </w:r>
      <w:r>
        <w:t xml:space="preserve">in Sierra Nevada are located in a geographical but not climatic rear-edge.</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w:t>
      </w:r>
      <w:r>
        <w:rPr>
          <w:i/>
        </w:rPr>
        <w:t xml:space="preserve">e.g.</w:t>
      </w:r>
      <w:r>
        <w:t xml:space="preserve"> </w:t>
      </w:r>
      <w:r>
        <w:t xml:space="preserve">first months of 1996 recorded the highest cumulative rainfall of the past century for our southern sites). This could explain the higher values of recovery found for 1995 (Figure 6). The high resilience values obtanied for the 1995 drought in the most xeric site (SJ) could be related with drought-induced mortality occurred in this area (</w:t>
      </w:r>
      <w:r>
        <w:rPr>
          <w:i/>
        </w:rPr>
        <w:t xml:space="preserve">personal communications</w:t>
      </w:r>
      <w:r>
        <w:t xml:space="preserve">).</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and others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and others 2012)</w:t>
      </w:r>
      <w:r>
        <w:t xml:space="preserve">. On the other hand, tree-ring width data provide an accurate measure of growth responses to droughts</w:t>
      </w:r>
      <w:r>
        <w:t xml:space="preserve"> </w:t>
      </w:r>
      <w:r>
        <w:t xml:space="preserve">(Bhuyan and others 2017; Gazol and others 2018)</w:t>
      </w:r>
      <w:r>
        <w:t xml:space="preserve">.</w:t>
      </w:r>
    </w:p>
    <w:p>
      <w:pPr>
        <w:pStyle w:val="Ttulo2"/>
      </w:pPr>
      <w:bookmarkStart w:id="43" w:name="microenvironment-shapes-differential-sensitivity-to-climate-and-drought-of-rear-edge-oaks"/>
      <w:r>
        <w:t xml:space="preserve">Microenvironment shapes differential sensitivity to climate and drought of rear-edge oaks</w:t>
      </w:r>
      <w:bookmarkEnd w:id="43"/>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 in oaks</w:t>
      </w:r>
      <w:r>
        <w:t xml:space="preserve"> </w:t>
      </w:r>
      <w:r>
        <w:t xml:space="preserve">(</w:t>
      </w:r>
      <w:r>
        <w:rPr>
          <w:i/>
        </w:rPr>
        <w:t xml:space="preserve">e.g.</w:t>
      </w:r>
      <w:r>
        <w:t xml:space="preserve"> </w:t>
      </w:r>
      <w:r>
        <w:t xml:space="preserve">Gea-Izquierdo and Cañellas 2014; González-González and others 2014;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w:t>
      </w:r>
      <w:r>
        <w:rPr>
          <w:i/>
        </w:rPr>
        <w:t xml:space="preserve">e.g.</w:t>
      </w:r>
      <w:r>
        <w:t xml:space="preserve"> </w:t>
      </w:r>
      <w:r>
        <w:t xml:space="preserve">soil features, tree competence, etc.)</w:t>
      </w:r>
      <w:r>
        <w:t xml:space="preserve"> </w:t>
      </w:r>
      <w:r>
        <w:t xml:space="preserve">(Babst and others 2013; Vicente-Serrano and others 2014a)</w:t>
      </w:r>
      <w:r>
        <w:t xml:space="preserve">, particularly for rear-edge populations</w:t>
      </w:r>
      <w:r>
        <w:t xml:space="preserve"> </w:t>
      </w:r>
      <w:r>
        <w:t xml:space="preserve">(Cavin and Jump 2017; Dorado-Liñán and others 2017b)</w:t>
      </w:r>
      <w:r>
        <w:t xml:space="preser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soil analyses along an elevational gradient in this location revealed higher content of available water for forest soils located on high elevation</w:t>
      </w:r>
      <w:r>
        <w:t xml:space="preserve"> </w:t>
      </w:r>
      <w:r>
        <w:t xml:space="preserve">(Cobo-Díaz and others 2017)</w:t>
      </w:r>
      <w:r>
        <w:t xml:space="preserve">. Recent works have found a clearly effect of elevation on the resistance to drought of several tree-species, where stands located at higher elevations were less drought sensitive.</w:t>
      </w:r>
      <w:r>
        <w:t xml:space="preserve"> </w:t>
      </w:r>
      <w:r>
        <w:t xml:space="preserve">(Bhuyan and others 2017)</w:t>
      </w:r>
      <w:r>
        <w:t xml:space="preserv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 (Table S4).</w:t>
      </w:r>
    </w:p>
    <w:p>
      <w:pPr>
        <w:pStyle w:val="Ttulo2"/>
      </w:pPr>
      <w:bookmarkStart w:id="44" w:name="land-use-legacies-shape-distribution-and-sensitivity-to-climate-change-at-the-read-edge"/>
      <w:r>
        <w:t xml:space="preserve">Land-use legacies shape distribution and sensitivity to climate change at the read-edge</w:t>
      </w:r>
      <w:bookmarkEnd w:id="44"/>
    </w:p>
    <w:p>
      <w:pPr>
        <w:pStyle w:val="FirstParagraph"/>
      </w:pPr>
      <w:r>
        <w:t xml:space="preserve">The Mediterranean mountains, even at high elevations, have suffered strongly transformation of the landscapes driven by human activities throughout history. Multiple evidence from palaeoecological studies indicated an intense human impact on vegetation of Sierra Nevada since 3000 cal year BP</w:t>
      </w:r>
      <w:r>
        <w:t xml:space="preserve"> </w:t>
      </w:r>
      <w:r>
        <w:t xml:space="preserve">(García-Alix and others 2017)</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and others 2017)</w:t>
      </w:r>
      <w:r>
        <w:t xml:space="preserve">. Mining, forest clearings, fuelwood and charcoal exploitations, pastoralism and also wars, have strongly impacted on the forest resources in Sierra Nevada, and on Pyrenean oak forest, as can be derived from the results of the review of historical documents (Table S4).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(Jiménez-Olivencia and others 2015)</w:t>
      </w:r>
      <w:r>
        <w:t xml:space="preserve">.</w:t>
      </w:r>
    </w:p>
    <w:p>
      <w:pPr>
        <w:pStyle w:val="Textodecuerpo"/>
      </w:pPr>
      <w:r>
        <w:t xml:space="preserve">Our study sites have been subjected to an intense exploitation of forest resources in history and landscape transformation. Although the estimated age for our sampled trees was not more than 180 years (Tables 1, 2), several documents reported the presence of oaks before that date. For instance, the inventories of trees made by the Spanish Navy during the second half of 18th century, reported for Cáñar and SJ sites more than two millions and 700 000 trees respectivley, most of them juveniles, suggesting recent wood fellings</w:t>
      </w:r>
      <w:r>
        <w:t xml:space="preserve"> </w:t>
      </w:r>
      <w:r>
        <w:t xml:space="preserve">(Cruz 1991)</w:t>
      </w:r>
      <w:r>
        <w:t xml:space="preserve">. These numbers are a reflect of the intense exploitation of the forest resources occurring up to the end of nineteenth century</w:t>
      </w:r>
      <w:r>
        <w:t xml:space="preserve"> </w:t>
      </w:r>
      <w:r>
        <w:t xml:space="preserve">(Calatrava and Sayadi 2019)</w:t>
      </w:r>
      <w:r>
        <w:t xml:space="preserve"> </w:t>
      </w:r>
      <w:r>
        <w:t xml:space="preserve">and also concur with the regeneration peaks observed for several Iberian oak woodlands</w:t>
      </w:r>
      <w:r>
        <w:t xml:space="preserve"> </w:t>
      </w:r>
      <w:r>
        <w:t xml:space="preserve">(e.g. Gea-Izquierdo and Cañellas 2014; Gea-Izquierdo and others 2015; Dorado-Liñán and others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Our study sites had different land-use trajectories driven mainly by the differential pattern of the natural resource use</w:t>
      </w:r>
      <w:r>
        <w:t xml:space="preserve"> </w:t>
      </w:r>
      <w:r>
        <w:t xml:space="preserve">(Jiménez-Olivencia and others 2015)</w:t>
      </w:r>
      <w:r>
        <w:t xml:space="preserve"> </w:t>
      </w:r>
      <w:r>
        <w:t xml:space="preserve">(Table S4).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(Jiménez-Olivencia and others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intermitently throughout history (Table S4). On the other hand, woodland areas of the southern slopes (Cáñar) are mixed with a greater percentage of croplands, even reached high elevation</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 Acorn resources have been tradiotionally exploited in this location up to 1950s (Tabla S4).</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(1925 to 1957) (Table S4).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and others 2017)</w:t>
      </w:r>
      <w:r>
        <w:t xml:space="preserve">. The other release event observed for SJ site during 1995-2000 was lower than the occurred at 1940, but affecting more trees (Figures 5, S4). We revised the forest practices carried out in this area in the last 30 years</w:t>
      </w:r>
      <w:r>
        <w:t xml:space="preserve"> </w:t>
      </w:r>
      <w:r>
        <w:t xml:space="preserve">(Bonet and others 2016)</w:t>
      </w:r>
      <w:r>
        <w:t xml:space="preserve">, but we did not find any clearing or cutting event during 1995 - 2000 period. Two non-mutually exclusive ways could explain the tree-growth release observed. Firstly it could be related with a natural drought-induced mortality event after 1995 (</w:t>
      </w:r>
      <w:r>
        <w:rPr>
          <w:i/>
        </w:rPr>
        <w:t xml:space="preserve">personal communications</w:t>
      </w:r>
      <w:r>
        <w:t xml:space="preserve">) as was reported for Mediterranean tree species</w:t>
      </w:r>
      <w:r>
        <w:t xml:space="preserve"> </w:t>
      </w:r>
      <w:r>
        <w:t xml:space="preserve">(</w:t>
      </w:r>
      <w:r>
        <w:rPr>
          <w:i/>
        </w:rPr>
        <w:t xml:space="preserve">e.g.</w:t>
      </w:r>
      <w:r>
        <w:t xml:space="preserve"> </w:t>
      </w:r>
      <w:r>
        <w:t xml:space="preserve">Peñuelas and others 2000; Lloret and others 2004)</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and others 2006)</w:t>
      </w:r>
      <w:r>
        <w:t xml:space="preserve">. Since latewood are less vulnerable to embolism than earlywood vessels</w:t>
      </w:r>
      <w:r>
        <w:t xml:space="preserve"> </w:t>
      </w:r>
      <w:r>
        <w:t xml:space="preserve">(Corcuera and others 2006)</w:t>
      </w:r>
      <w:r>
        <w:t xml:space="preserve">, the reduction or even the non-production of former could negatively affect to tree-growth and also enhanced the mortality, particularly for drier sites</w:t>
      </w:r>
      <w:r>
        <w:t xml:space="preserve"> </w:t>
      </w:r>
      <w:r>
        <w:t xml:space="preserve">(Corcuera and others 2006; Gea-Izquierdo and Cañellas 2014)</w:t>
      </w:r>
      <w:r>
        <w:t xml:space="preserve">.</w:t>
      </w:r>
    </w:p>
    <w:p>
      <w:pPr>
        <w:pStyle w:val="Textodecuerpo"/>
      </w:pPr>
      <w:r>
        <w:t xml:space="preserve">For southern sites, the only positive release events showed for CA-High site could be related with conversion from closed forest to an open silvopastoral system, a common management applied in the past</w:t>
      </w:r>
      <w:r>
        <w:t xml:space="preserve"> </w:t>
      </w:r>
      <w:r>
        <w:t xml:space="preserve">(Cañellas and others 2004; Gea-Izquierdo and Cañellas 2014)</w:t>
      </w:r>
      <w:r>
        <w:t xml:space="preserve"> </w:t>
      </w:r>
      <w:r>
        <w:t xml:space="preserve">documented in this site</w:t>
      </w:r>
      <w:r>
        <w:t xml:space="preserve"> </w:t>
      </w:r>
      <w:r>
        <w:t xml:space="preserve">(Valbuena-Carabaña and Gil 2013)</w:t>
      </w:r>
      <w:r>
        <w:t xml:space="preserve">.</w:t>
      </w:r>
    </w:p>
    <w:p>
      <w:pPr>
        <w:pStyle w:val="Textodecuerpo"/>
      </w:pPr>
      <w:r>
        <w:t xml:space="preserve">Climatic drivers are key factors determining the growth of tree species, especially at the rear edge of their distribution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and others 2013; Doblas-Miranda and others 2017; Peñuelas and others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(Cañellas and others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and others 2002)</w:t>
      </w:r>
      <w:r>
        <w:t xml:space="preserve">.</w:t>
      </w:r>
    </w:p>
    <w:p>
      <w:pPr>
        <w:pStyle w:val="Ttulo1"/>
      </w:pPr>
      <w:bookmarkStart w:id="45" w:name="conclussions"/>
      <w:r>
        <w:t xml:space="preserve">Conclussions</w:t>
      </w:r>
      <w:bookmarkEnd w:id="45"/>
    </w:p>
    <w:p>
      <w:pPr>
        <w:pStyle w:val="FirstParagraph"/>
      </w:pPr>
      <w:r>
        <w:t xml:space="preserve">Severe drought events have provoked important reductions in primary and secondary growth of</w:t>
      </w:r>
      <w:r>
        <w:t xml:space="preserve"> </w:t>
      </w:r>
      <w:r>
        <w:rPr>
          <w:i/>
        </w:rPr>
        <w:t xml:space="preserve">Q. pyrenaica</w:t>
      </w:r>
      <w:r>
        <w:t xml:space="preserve"> </w:t>
      </w:r>
      <w:r>
        <w:t xml:space="preserve">forests at Sierra Nevada mountain range. However, despite the expected vulnerability for those relict stands, we observed positive trends of both primary (</w:t>
      </w:r>
      <w:r>
        <w:rPr>
          <w:i/>
        </w:rPr>
        <w:t xml:space="preserve">i.e.</w:t>
      </w:r>
      <w:r>
        <w:t xml:space="preserve"> </w:t>
      </w:r>
      <w:r>
        <w:t xml:space="preserve">greenness) at ecosystem scale and secondary growth at tree level in our study site, particularly at the most humid site along the climatic gradient analyzed. Surprisingly we observed high resilience values to drought, particularly at long-term scales. These results are consistent with research showing high genetic resilience values and overall suggest this mountain region still acting as refuge for deciduous</w:t>
      </w:r>
      <w:r>
        <w:t xml:space="preserve"> </w:t>
      </w:r>
      <w:r>
        <w:rPr>
          <w:i/>
        </w:rPr>
        <w:t xml:space="preserve">Quercus</w:t>
      </w:r>
      <w:r>
        <w:t xml:space="preserve">. The differences observed in tree-growth and resilience to drought between very close sites show that responses to drought were site-dependent. This is particularly relevant for rear-edge populations where topographic and biophysical variablity facilitates the existence of microrefugia, as reflected along the climatic gradient analysed</w:t>
      </w:r>
      <w:r>
        <w:t xml:space="preserve"> </w:t>
      </w:r>
      <w:r>
        <w:t xml:space="preserve">(Vilà-Cabrera and others 2019)</w:t>
      </w:r>
      <w:r>
        <w:t xml:space="preserve">. The analysis of tree-growth dynamics revealed suppression and release events that are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higher sensitivity to climate change, such us</w:t>
      </w:r>
      <w:r>
        <w:t xml:space="preserve"> </w:t>
      </w:r>
      <w:r>
        <w:rPr>
          <w:i/>
        </w:rPr>
        <w:t xml:space="preserve">Q. pyrenaica</w:t>
      </w:r>
      <w:r>
        <w:t xml:space="preserve">, not only for conservation per se of this species, but for all ecosystem services that these singular forests offer at Mediterranean mountain. Following our study it is necessary to disentangle how ecosystem services and stand dynamics are affected by the combination of climate change and land-use legacies in highly transformed landscapes like the one studied here.</w:t>
      </w:r>
    </w:p>
    <w:p>
      <w:pPr>
        <w:pStyle w:val="Ttulo1"/>
      </w:pPr>
      <w:bookmarkStart w:id="46" w:name="acknowledgments"/>
      <w:r>
        <w:t xml:space="preserve">Acknowledgments</w:t>
      </w:r>
      <w:bookmarkEnd w:id="46"/>
    </w:p>
    <w:p>
      <w:pPr>
        <w:pStyle w:val="FirstParagraph"/>
      </w:pPr>
      <w:r>
        <w:t xml:space="preserve">We would like to thank Sammy Lucy Behle, M. Suarez-Muñoz and F.J. Bonet-García for their assistence in the field monitoring. A. Reyes and J. Blanco helped in the filtering of satellite data. F.J. Cano-Manuel and F.J. Navarro provided worthwhile information about oak management projects in Sierra Nevada. We also are very thankful to F.J. Bonet-García for his valuable comments in an earlier version of the manuscript.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47">
        <w:r>
          <w:rPr>
            <w:rStyle w:val="Hipervnculo"/>
          </w:rPr>
          <w:t xml:space="preserve">http://www.ecopotential-project.eu/</w:t>
        </w:r>
      </w:hyperlink>
      <w:r>
        <w:t xml:space="preserve">) (No 641762), for their funding support.</w:t>
      </w:r>
    </w:p>
    <w:p>
      <w:pPr>
        <w:pStyle w:val="Ttulo1"/>
      </w:pPr>
      <w:bookmarkStart w:id="48" w:name="references"/>
      <w:r>
        <w:t xml:space="preserve">References</w:t>
      </w:r>
      <w:bookmarkEnd w:id="48"/>
    </w:p>
    <w:bookmarkStart w:id="148" w:name="refs"/>
    <w:bookmarkStart w:id="49"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49"/>
    <w:bookmarkStart w:id="50" w:name="ref-Alcaraz2016obsnev_ndvi"/>
    <w:p>
      <w:pPr>
        <w:pStyle w:val="Bibliografa"/>
      </w:pPr>
      <w:r>
        <w:t xml:space="preserve">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bookmarkEnd w:id="50"/>
    <w:bookmarkStart w:id="51"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1"/>
    <w:bookmarkStart w:id="52"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2"/>
    <w:bookmarkStart w:id="53" w:name="ref-Bhuyan2017"/>
    <w:p>
      <w:pPr>
        <w:pStyle w:val="Bibliografa"/>
      </w:pPr>
      <w:r>
        <w:t xml:space="preserve">Bhuyan U, Zang C, Menzel A. 2017. Different responses of multispecies tree ring growth to various drought indices across Europe. Dendrochronologia 44:1–8.</w:t>
      </w:r>
    </w:p>
    <w:bookmarkEnd w:id="53"/>
    <w:bookmarkStart w:id="55" w:name="ref-Biondi2008"/>
    <w:p>
      <w:pPr>
        <w:pStyle w:val="Bibliografa"/>
      </w:pPr>
      <w:r>
        <w:t xml:space="preserve">Biondi F, Qeadan F. 2008. A theory-driven approach to tree-ring standardization: Defining the biological trend from expected basal area increment. Tree-Ring Research 64:81–96.</w:t>
      </w:r>
      <w:r>
        <w:t xml:space="preserve"> </w:t>
      </w:r>
      <w:hyperlink r:id="rId54">
        <w:r>
          <w:rPr>
            <w:rStyle w:val="Hipervnculo"/>
          </w:rPr>
          <w:t xml:space="preserve">https://doi.org/10.3959/2008-6.1</w:t>
        </w:r>
      </w:hyperlink>
    </w:p>
    <w:bookmarkEnd w:id="55"/>
    <w:bookmarkStart w:id="56"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56"/>
    <w:bookmarkStart w:id="57" w:name="ref-Brewer2002"/>
    <w:p>
      <w:pPr>
        <w:pStyle w:val="Bibliografa"/>
      </w:pPr>
      <w:r>
        <w:t xml:space="preserve">Brewer S, Cheddadi R, Beaulieu J de, Reille M. 2002. The spread of deciduous Quercus throughout Europe since the last glacial period. Forest Ecology and Management 156:27–48.</w:t>
      </w:r>
    </w:p>
    <w:bookmarkEnd w:id="57"/>
    <w:bookmarkStart w:id="58" w:name="ref-Bunn2010"/>
    <w:p>
      <w:pPr>
        <w:pStyle w:val="Bibliografa"/>
      </w:pPr>
      <w:r>
        <w:t xml:space="preserve">Bunn AG. 2010. Statistical and visual crossdating in r using the dplR library. Dendrochronologia 28:251–8.</w:t>
      </w:r>
    </w:p>
    <w:bookmarkEnd w:id="58"/>
    <w:bookmarkStart w:id="60"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59">
        <w:r>
          <w:rPr>
            <w:rStyle w:val="Hipervnculo"/>
          </w:rPr>
          <w:t xml:space="preserve">https://doi.org/10.3390/su11030704</w:t>
        </w:r>
      </w:hyperlink>
    </w:p>
    <w:bookmarkEnd w:id="60"/>
    <w:bookmarkStart w:id="61"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1"/>
    <w:bookmarkStart w:id="62"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2"/>
    <w:bookmarkStart w:id="63"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3"/>
    <w:bookmarkStart w:id="64" w:name="ref-Caminero2018"/>
    <w:p>
      <w:pPr>
        <w:pStyle w:val="Bibliografa"/>
      </w:pPr>
      <w:r>
        <w:t xml:space="preserve">Caminero L, Génova M, Camarero JJ, Sánchez-Salguero R. 2018. Growth responses to climate and drought at the southernmost European limit of Mediterranean</w:t>
      </w:r>
      <w:r>
        <w:t xml:space="preserve"> </w:t>
      </w:r>
      <w:r>
        <w:rPr>
          <w:i/>
        </w:rPr>
        <w:t xml:space="preserve">Pinus pinaster</w:t>
      </w:r>
      <w:r>
        <w:t xml:space="preserve"> </w:t>
      </w:r>
      <w:r>
        <w:t xml:space="preserve">forests. Dendrochronologia 48:20–9.</w:t>
      </w:r>
    </w:p>
    <w:bookmarkEnd w:id="64"/>
    <w:bookmarkStart w:id="66" w:name="ref-Canellas2004"/>
    <w:p>
      <w:pPr>
        <w:pStyle w:val="Bibliografa"/>
      </w:pPr>
      <w:r>
        <w:t xml:space="preserve">Cañellas I, Del Río M, Roig S, Montero G. 2004. Growth response to thinning in quercus pyrenaica willd. Coppice stands in spanish central mountain. Annals of Forest Sciences 61:243–50.</w:t>
      </w:r>
      <w:r>
        <w:t xml:space="preserve"> </w:t>
      </w:r>
      <w:hyperlink r:id="rId65">
        <w:r>
          <w:rPr>
            <w:rStyle w:val="Hipervnculo"/>
          </w:rPr>
          <w:t xml:space="preserve">https://doi.org/10.1051/forest:2004017</w:t>
        </w:r>
      </w:hyperlink>
    </w:p>
    <w:bookmarkEnd w:id="66"/>
    <w:bookmarkStart w:id="68"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r>
        <w:t xml:space="preserve"> </w:t>
      </w:r>
      <w:hyperlink r:id="rId67">
        <w:r>
          <w:rPr>
            <w:rStyle w:val="Hipervnculo"/>
          </w:rPr>
          <w:t xml:space="preserve">http://dx.doi.org/10.1111/gcb.13366</w:t>
        </w:r>
      </w:hyperlink>
    </w:p>
    <w:bookmarkEnd w:id="68"/>
    <w:bookmarkStart w:id="69"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69"/>
    <w:bookmarkStart w:id="71"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r>
        <w:t xml:space="preserve"> </w:t>
      </w:r>
      <w:hyperlink r:id="rId70">
        <w:r>
          <w:rPr>
            <w:rStyle w:val="Hipervnculo"/>
          </w:rPr>
          <w:t xml:space="preserve">http://www.mdpi.com/1999-4907/8/10/390</w:t>
        </w:r>
      </w:hyperlink>
    </w:p>
    <w:bookmarkEnd w:id="71"/>
    <w:bookmarkStart w:id="72" w:name="ref-Cook1990"/>
    <w:p>
      <w:pPr>
        <w:pStyle w:val="Bibliografa"/>
      </w:pPr>
      <w:r>
        <w:t xml:space="preserve">Cook E, Kairukstis L. 1990. Methods of dendrochronology: Applications in the environmental sciences. Doredrecht: Springer</w:t>
      </w:r>
    </w:p>
    <w:bookmarkEnd w:id="72"/>
    <w:bookmarkStart w:id="73"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73"/>
    <w:bookmarkStart w:id="74"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4"/>
    <w:bookmarkStart w:id="75" w:name="ref-Cruz1991"/>
    <w:p>
      <w:pPr>
        <w:pStyle w:val="Bibliografa"/>
      </w:pPr>
      <w:r>
        <w:t xml:space="preserve">Cruz M. 1991. Atlas historico-forestal de Andalucia: siglo XVIII. Granada: Universidad de Granada</w:t>
      </w:r>
    </w:p>
    <w:bookmarkEnd w:id="75"/>
    <w:bookmarkStart w:id="76" w:name="ref-Dai2011"/>
    <w:p>
      <w:pPr>
        <w:pStyle w:val="Bibliografa"/>
      </w:pPr>
      <w:r>
        <w:t xml:space="preserve">Dai A. 2011. Drought under global warming: A review. Wiley Interdisciplinary Reviews: Climate Change 2:45–65.</w:t>
      </w:r>
    </w:p>
    <w:bookmarkEnd w:id="76"/>
    <w:bookmarkStart w:id="77"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Young SS, Silvern SE, editors. International perspectives on global environmental change. pp 355–74.</w:t>
      </w:r>
    </w:p>
    <w:bookmarkEnd w:id="77"/>
    <w:bookmarkStart w:id="78"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8"/>
    <w:bookmarkStart w:id="79"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79"/>
    <w:bookmarkStart w:id="80" w:name="ref-Dorado2017b"/>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80"/>
    <w:bookmarkStart w:id="81"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81"/>
    <w:bookmarkStart w:id="82" w:name="ref-Fritts1976"/>
    <w:p>
      <w:pPr>
        <w:pStyle w:val="Bibliografa"/>
      </w:pPr>
      <w:r>
        <w:t xml:space="preserve">Fritts HC. 1976. Tree rings and climate. London: Academic Press</w:t>
      </w:r>
    </w:p>
    <w:bookmarkEnd w:id="82"/>
    <w:bookmarkStart w:id="83"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83"/>
    <w:bookmarkStart w:id="84"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84"/>
    <w:bookmarkStart w:id="85" w:name="ref-GarciaHerrera2007"/>
    <w:p>
      <w:pPr>
        <w:pStyle w:val="Bibliografa"/>
      </w:pPr>
      <w:r>
        <w:t xml:space="preserve">García-Herrera R, Hernández E, Barriopedro D, Paredes D, Trigo RM, Trigo IF, Mendes MA. 2007. The outstanding 2004/05 drought in the Iberian Peninsula: Associated atmospheric circulation. Journal of Hydrometeorology 8:483–98.</w:t>
      </w:r>
    </w:p>
    <w:bookmarkEnd w:id="85"/>
    <w:bookmarkStart w:id="86"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86"/>
    <w:bookmarkStart w:id="88" w:name="ref-GeaIzquierdo2014"/>
    <w:p>
      <w:pPr>
        <w:pStyle w:val="Bibliografa"/>
      </w:pPr>
      <w:r>
        <w:t xml:space="preserve">Gea-Izquierdo G, Cañellas I. 2014. Local climate forces instability in long-term productivity of a Mediterranean oak along climatic gradients. Ecosystems 17:228–41.</w:t>
      </w:r>
      <w:r>
        <w:t xml:space="preserve"> </w:t>
      </w:r>
      <w:hyperlink r:id="rId87">
        <w:r>
          <w:rPr>
            <w:rStyle w:val="Hipervnculo"/>
          </w:rPr>
          <w:t xml:space="preserve">http://dx.doi.org/10.1007/s10021-013-9719-3</w:t>
        </w:r>
      </w:hyperlink>
    </w:p>
    <w:bookmarkEnd w:id="88"/>
    <w:bookmarkStart w:id="90" w:name="ref-GeaIzquierdo2013"/>
    <w:p>
      <w:pPr>
        <w:pStyle w:val="Bibliografa"/>
      </w:pPr>
      <w:r>
        <w:t xml:space="preserve">Gea-Izquierdo G, Fernández-de-Uña L, Cañellas I. 2013. Growth projections reveal local vulnerability of Mediterranean oaks with rising temperatures. Forest Ecology and Management 305:282–93.</w:t>
      </w:r>
      <w:r>
        <w:t xml:space="preserve"> </w:t>
      </w:r>
      <w:hyperlink r:id="rId89">
        <w:r>
          <w:rPr>
            <w:rStyle w:val="Hipervnculo"/>
          </w:rPr>
          <w:t xml:space="preserve">http://www.sciencedirect.com/science/article/pii/S0378112713003678</w:t>
        </w:r>
      </w:hyperlink>
    </w:p>
    <w:bookmarkEnd w:id="90"/>
    <w:bookmarkStart w:id="91" w:name="ref-Gea-Izquierdo2015"/>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91"/>
    <w:bookmarkStart w:id="92"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92"/>
    <w:bookmarkStart w:id="93"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93"/>
    <w:bookmarkStart w:id="94" w:name="ref-Hampe2005"/>
    <w:p>
      <w:pPr>
        <w:pStyle w:val="Bibliografa"/>
      </w:pPr>
      <w:r>
        <w:t xml:space="preserve">Hampe A, Petit RJ. 2005. Conserving biodiversity under climate change: The rear edge matters. Ecology Letters 8:461–7.</w:t>
      </w:r>
    </w:p>
    <w:bookmarkEnd w:id="94"/>
    <w:bookmarkStart w:id="95" w:name="ref-Hartman2018"/>
    <w:p>
      <w:pPr>
        <w:pStyle w:val="Bibliografa"/>
      </w:pPr>
      <w:r>
        <w:t xml:space="preserve">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bookmarkEnd w:id="95"/>
    <w:bookmarkStart w:id="97"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r>
        <w:t xml:space="preserve"> </w:t>
      </w:r>
      <w:hyperlink r:id="rId96">
        <w:r>
          <w:rPr>
            <w:rStyle w:val="Hipervnculo"/>
          </w:rPr>
          <w:t xml:space="preserve">http://dx.doi.org/10.1029/2008JD010201</w:t>
        </w:r>
      </w:hyperlink>
    </w:p>
    <w:bookmarkEnd w:id="97"/>
    <w:bookmarkStart w:id="98" w:name="ref-Herrero2014"/>
    <w:p>
      <w:pPr>
        <w:pStyle w:val="Bibliografa"/>
      </w:pPr>
      <w:r>
        <w:t xml:space="preserve">Herrero A, Zamora R. 2014. Plant responses to extreme climatic events: A field test of resilience capacity at the southern range edge. PLOS ONE 9:e87842.</w:t>
      </w:r>
    </w:p>
    <w:bookmarkEnd w:id="98"/>
    <w:bookmarkStart w:id="99" w:name="ref-Holling1973"/>
    <w:p>
      <w:pPr>
        <w:pStyle w:val="Bibliografa"/>
      </w:pPr>
      <w:r>
        <w:t xml:space="preserve">Holling CS. 1973. Resilience and stability of ecological systems. Annual Review of Ecology and Systematics 4:1–23.</w:t>
      </w:r>
    </w:p>
    <w:bookmarkEnd w:id="99"/>
    <w:bookmarkStart w:id="100" w:name="ref-Holmes1983"/>
    <w:p>
      <w:pPr>
        <w:pStyle w:val="Bibliografa"/>
      </w:pPr>
      <w:r>
        <w:t xml:space="preserve">Holmes RL. 1983. Computer-assisted quality control in tree-ring dating and measurement. Tree-Ring Bulletin 43:69–78.</w:t>
      </w:r>
    </w:p>
    <w:bookmarkEnd w:id="100"/>
    <w:bookmarkStart w:id="101" w:name="ref-Huang2018"/>
    <w:p>
      <w:pPr>
        <w:pStyle w:val="Bibliografa"/>
      </w:pPr>
      <w:r>
        <w:t xml:space="preserve">Huang M, Wang X, Keenan TF, Piao S. 2018. Drought timing influences the legacy of tree growth recovery. Global Change Biology 24:3546–59.</w:t>
      </w:r>
    </w:p>
    <w:bookmarkEnd w:id="101"/>
    <w:bookmarkStart w:id="102"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02"/>
    <w:bookmarkStart w:id="103" w:name="ref-JimenezSerrano2004"/>
    <w:p>
      <w:pPr>
        <w:pStyle w:val="Bibliografa"/>
      </w:pPr>
      <w:r>
        <w:t xml:space="preserve">Jiménez-Serrano B, Serrano-Gutiérrez J. 2004. El Catastro del Marqués de la Ensenada en el antiguo Reino de Granada.</w:t>
      </w:r>
    </w:p>
    <w:bookmarkEnd w:id="103"/>
    <w:bookmarkStart w:id="104" w:name="ref-Jump2010"/>
    <w:p>
      <w:pPr>
        <w:pStyle w:val="Bibliografa"/>
      </w:pPr>
      <w:r>
        <w:t xml:space="preserve">Jump AS, Cavin L, Hunter PD. 2010. Monitoring and managing responses to climate change at the retreating range edge of forest trees. Journal of Environmental Monitoring 12:1791–8.</w:t>
      </w:r>
    </w:p>
    <w:bookmarkEnd w:id="104"/>
    <w:bookmarkStart w:id="106" w:name="ref-Lloret2011"/>
    <w:p>
      <w:pPr>
        <w:pStyle w:val="Bibliografa"/>
      </w:pPr>
      <w:r>
        <w:t xml:space="preserve">Lloret F, Keeling EG, Sala A. 2011. Components of tree resilience: Effects of successive low-growth episodes in old ponderosa pine forests. Oikos 120:1909–20.</w:t>
      </w:r>
      <w:r>
        <w:t xml:space="preserve"> </w:t>
      </w:r>
      <w:hyperlink r:id="rId105">
        <w:r>
          <w:rPr>
            <w:rStyle w:val="Hipervnculo"/>
          </w:rPr>
          <w:t xml:space="preserve">http://dx.doi.org/10.1111/j.1600-0706.2011.19372.x</w:t>
        </w:r>
      </w:hyperlink>
    </w:p>
    <w:bookmarkEnd w:id="106"/>
    <w:bookmarkStart w:id="108" w:name="ref-Lloret2004"/>
    <w:p>
      <w:pPr>
        <w:pStyle w:val="Bibliografa"/>
      </w:pPr>
      <w:r>
        <w:t xml:space="preserve">Lloret F, Siscart D, Dalmases C. 2004. Canopy recovery after drought dieback in holm-oak mediterranean forests of catalonia (NE spain). Global Change Biology 10:2092–9.</w:t>
      </w:r>
      <w:r>
        <w:t xml:space="preserve"> </w:t>
      </w:r>
      <w:hyperlink r:id="rId107">
        <w:r>
          <w:rPr>
            <w:rStyle w:val="Hipervnculo"/>
          </w:rPr>
          <w:t xml:space="preserve">https://doi.org/10.1111/j.1365-2486.2004.00870.x</w:t>
        </w:r>
      </w:hyperlink>
    </w:p>
    <w:bookmarkEnd w:id="108"/>
    <w:bookmarkStart w:id="109" w:name="ref-Loriteetal2008ABG"/>
    <w:p>
      <w:pPr>
        <w:pStyle w:val="Bibliografa"/>
      </w:pPr>
      <w:r>
        <w:t xml:space="preserve">Lorite J, Salazar C, Peñas J, Valle F. 2008. Phytosociological review on the forests of quercus pyrenaica willd. Acta Botanica Gallica 155:219–33.</w:t>
      </w:r>
    </w:p>
    <w:bookmarkEnd w:id="109"/>
    <w:bookmarkStart w:id="110" w:name="ref-MartinezVilalta2018"/>
    <w:p>
      <w:pPr>
        <w:pStyle w:val="Bibliografa"/>
      </w:pPr>
      <w:r>
        <w:t xml:space="preserve">Martínez-Vilalta J. 2018. The rear window: Structural and functional plasticity in tree responses to climate change inferred from growth rings. Tree Physiology.</w:t>
      </w:r>
    </w:p>
    <w:bookmarkEnd w:id="110"/>
    <w:bookmarkStart w:id="111"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11"/>
    <w:bookmarkStart w:id="112"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12"/>
    <w:bookmarkStart w:id="114" w:name="ref-Nowacki1997"/>
    <w:p>
      <w:pPr>
        <w:pStyle w:val="Bibliografa"/>
      </w:pPr>
      <w:r>
        <w:t xml:space="preserve">Nowacki GJ, Abrams MD. 1997. Radial-growth averaging criteria for reconstructing disturbance histories from presettlement-origing oaks. Ecological Monographs 67:225–49.</w:t>
      </w:r>
      <w:r>
        <w:t xml:space="preserve"> </w:t>
      </w:r>
      <w:hyperlink r:id="rId113">
        <w:r>
          <w:rPr>
            <w:rStyle w:val="Hipervnculo"/>
          </w:rPr>
          <w:t xml:space="preserve">http://dx.doi.org/10.1890/0012-9615(1997)067[0225:RGACFR]2.0.CO;2</w:t>
        </w:r>
      </w:hyperlink>
    </w:p>
    <w:bookmarkEnd w:id="114"/>
    <w:bookmarkStart w:id="115" w:name="ref-Olalde2002"/>
    <w:p>
      <w:pPr>
        <w:pStyle w:val="Bibliografa"/>
      </w:pPr>
      <w:r>
        <w:t xml:space="preserve">Olalde M, Herrán A, Espinel S, Goicoechea PG. 2002. White oaks phylogeography in the Iberian Peninsula. Forest Ecology and Management 156:89–102.</w:t>
      </w:r>
    </w:p>
    <w:bookmarkEnd w:id="115"/>
    <w:bookmarkStart w:id="116" w:name="ref-Pascoa2017"/>
    <w:p>
      <w:pPr>
        <w:pStyle w:val="Bibliografa"/>
      </w:pPr>
      <w:r>
        <w:t xml:space="preserve">Páscoa P, Gouveia C, Russo A, Trigo R. 2017. Drought trends in the Iberian Peninsula over the last 112 years. Advances in Meteorology:ID4653126.</w:t>
      </w:r>
    </w:p>
    <w:bookmarkEnd w:id="116"/>
    <w:bookmarkStart w:id="118"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r>
        <w:t xml:space="preserve"> </w:t>
      </w:r>
      <w:hyperlink r:id="rId117">
        <w:r>
          <w:rPr>
            <w:rStyle w:val="Hipervnculo"/>
          </w:rPr>
          <w:t xml:space="preserve">https://www.mdpi.com/1999-4907/9/9/524</w:t>
        </w:r>
      </w:hyperlink>
    </w:p>
    <w:bookmarkEnd w:id="118"/>
    <w:bookmarkStart w:id="119" w:name="ref-Penuelas2000"/>
    <w:p>
      <w:pPr>
        <w:pStyle w:val="Bibliografa"/>
      </w:pPr>
      <w:r>
        <w:t xml:space="preserve">Peñuelas J, Filella I, Lloret F, Piñol J, Siscart D. 2000. Effects of a severe drought on water and nitrogen use by quercus ilex and phyllyrea latifolia. Biologia Plantarum 43:47–53.</w:t>
      </w:r>
    </w:p>
    <w:bookmarkEnd w:id="119"/>
    <w:bookmarkStart w:id="120" w:name="ref-Penuelas2001"/>
    <w:p>
      <w:pPr>
        <w:pStyle w:val="Bibliografa"/>
      </w:pPr>
      <w:r>
        <w:t xml:space="preserve">Peñuelas J, Lloret F, Montoya R. 2001. Severe drought effects on mediterranean woody flora in spain. Forest Science 47:214–8.</w:t>
      </w:r>
    </w:p>
    <w:bookmarkEnd w:id="120"/>
    <w:bookmarkStart w:id="121" w:name="ref-Penuelas2017"/>
    <w:p>
      <w:pPr>
        <w:pStyle w:val="Bibliografa"/>
      </w:pPr>
      <w:r>
        <w:t xml:space="preserve">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t>
      </w:r>
    </w:p>
    <w:bookmarkEnd w:id="121"/>
    <w:bookmarkStart w:id="122"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122"/>
    <w:bookmarkStart w:id="123"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23"/>
    <w:bookmarkStart w:id="125"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r>
        <w:t xml:space="preserve"> </w:t>
      </w:r>
      <w:hyperlink r:id="rId124">
        <w:r>
          <w:rPr>
            <w:rStyle w:val="Hipervnculo"/>
          </w:rPr>
          <w:t xml:space="preserve">http://dx.doi.org/10.1111/j.1365-2486.2008.01570.x</w:t>
        </w:r>
      </w:hyperlink>
    </w:p>
    <w:bookmarkEnd w:id="125"/>
    <w:bookmarkStart w:id="126"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26"/>
    <w:bookmarkStart w:id="127"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27"/>
    <w:bookmarkStart w:id="128" w:name="ref-Rubino2004"/>
    <w:p>
      <w:pPr>
        <w:pStyle w:val="Bibliografa"/>
      </w:pPr>
      <w:r>
        <w:t xml:space="preserve">Rubino D, McCarthy B. 2004. Comparative analysis of dendroecological methods used to assess disturbance events. Dendrochronologia 21:97–115.</w:t>
      </w:r>
    </w:p>
    <w:bookmarkEnd w:id="128"/>
    <w:bookmarkStart w:id="129"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29"/>
    <w:bookmarkStart w:id="130"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30"/>
    <w:bookmarkStart w:id="131" w:name="ref-Spinoni2015"/>
    <w:p>
      <w:pPr>
        <w:pStyle w:val="Bibliografa"/>
      </w:pPr>
      <w:r>
        <w:t xml:space="preserve">Spinoni J, Naumann G, Vogt J, Barbosa P. 2015. European drought climatologies and trends based on a multi-indicator approach. Global and Planetary Change 127:50–7.</w:t>
      </w:r>
    </w:p>
    <w:bookmarkEnd w:id="131"/>
    <w:bookmarkStart w:id="132" w:name="ref-Spinoni2017a"/>
    <w:p>
      <w:pPr>
        <w:pStyle w:val="Bibliografa"/>
      </w:pPr>
      <w:r>
        <w:t xml:space="preserve">Spinoni J, Vogt JV, Naumann G, Barbosa P, Dosio A. 2017. Will drought events become more frequent and severe in Europe? International Journal of Climatology.</w:t>
      </w:r>
    </w:p>
    <w:bookmarkEnd w:id="132"/>
    <w:bookmarkStart w:id="134" w:name="ref-Stagge2017"/>
    <w:p>
      <w:pPr>
        <w:pStyle w:val="Bibliografa"/>
      </w:pPr>
      <w:r>
        <w:t xml:space="preserve">Stagge JH, Kingston DG, Tallaksen LM, Hannah DM. 2017. Observed drought indices show increasing divergence across Europe. Scientific Reports 7:14045.</w:t>
      </w:r>
      <w:r>
        <w:t xml:space="preserve"> </w:t>
      </w:r>
      <w:hyperlink r:id="rId133">
        <w:r>
          <w:rPr>
            <w:rStyle w:val="Hipervnculo"/>
          </w:rPr>
          <w:t xml:space="preserve">https://doi.org/10.1038/s41598-017-14283-2</w:t>
        </w:r>
      </w:hyperlink>
    </w:p>
    <w:bookmarkEnd w:id="134"/>
    <w:bookmarkStart w:id="135" w:name="ref-Titos1990"/>
    <w:p>
      <w:pPr>
        <w:pStyle w:val="Bibliografa"/>
      </w:pPr>
      <w:r>
        <w:t xml:space="preserve">Titos M. 1990. Las minas de la Estrella. In: Titos M, editor. La aventura de Sierra-Nevada 1717-1915. Editorial Universidad de Granada. pp 226–36.</w:t>
      </w:r>
    </w:p>
    <w:bookmarkEnd w:id="135"/>
    <w:bookmarkStart w:id="136"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36"/>
    <w:bookmarkStart w:id="137"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37"/>
    <w:bookmarkStart w:id="138"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38"/>
    <w:bookmarkStart w:id="139"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39"/>
    <w:bookmarkStart w:id="140" w:name="ref-VicenteSerrano2014b"/>
    <w:p>
      <w:pPr>
        <w:pStyle w:val="Bibliografa"/>
      </w:pPr>
      <w:r>
        <w:t xml:space="preserve">Vicente-Serrano SM, Camarero JJ, Azorin‐Molina C. 2014a. Diverse responses of forest growth to drought time‐scales in the northern hemisphere. Global Ecology and Biogeography 23:1019–30.</w:t>
      </w:r>
    </w:p>
    <w:bookmarkEnd w:id="140"/>
    <w:bookmarkStart w:id="141"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41"/>
    <w:bookmarkStart w:id="142" w:name="ref-VicenteSerrano2014"/>
    <w:p>
      <w:pPr>
        <w:pStyle w:val="Bibliografa"/>
      </w:pPr>
      <w:r>
        <w:t xml:space="preserve">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bookmarkEnd w:id="142"/>
    <w:bookmarkStart w:id="143" w:name="ref-VilaCabrera2019"/>
    <w:p>
      <w:pPr>
        <w:pStyle w:val="Bibliografa"/>
      </w:pPr>
      <w:r>
        <w:t xml:space="preserve">Vilà-Cabrera A, Premoli AC, Jump AS. 2019. Refining predictions of population decline at species’ rear edges. Global Change Biology 25:1549–60.</w:t>
      </w:r>
    </w:p>
    <w:bookmarkEnd w:id="143"/>
    <w:bookmarkStart w:id="144" w:name="ref-Vivero2000"/>
    <w:p>
      <w:pPr>
        <w:pStyle w:val="Bibliografa"/>
      </w:pPr>
      <w:r>
        <w:t xml:space="preserve">Vivero J, Prados J, Hernández-Bermejo J. 2000.</w:t>
      </w:r>
      <w:r>
        <w:t xml:space="preserve"> </w:t>
      </w:r>
      <w:r>
        <w:rPr>
          <w:i/>
        </w:rPr>
        <w:t xml:space="preserve">Quercus pyrenaica</w:t>
      </w:r>
      <w:r>
        <w:t xml:space="preserve"> </w:t>
      </w:r>
      <w:r>
        <w:t xml:space="preserve">Willd. In: Blanca G, Cabezudo B, Hernández-Bermejo J, Herrera C, Muñoz J, Valdés B, editors. Libro rojo de la flora silvestre amenzada de andalucía. II. Especies vulnerables. Sevilla: Consejería de Medio Ambiente, Junta de Andalucía. pp 303–6.</w:t>
      </w:r>
    </w:p>
    <w:bookmarkEnd w:id="144"/>
    <w:bookmarkStart w:id="145" w:name="ref-Wilcox2012"/>
    <w:p>
      <w:pPr>
        <w:pStyle w:val="Bibliografa"/>
      </w:pPr>
      <w:r>
        <w:t xml:space="preserve">Wilcox R. 2012. Introduction to robust estimation and hypothesis testing (third edition). Third Edition. Academic Press</w:t>
      </w:r>
    </w:p>
    <w:bookmarkEnd w:id="145"/>
    <w:bookmarkStart w:id="146" w:name="ref-Zang2015"/>
    <w:p>
      <w:pPr>
        <w:pStyle w:val="Bibliografa"/>
      </w:pPr>
      <w:r>
        <w:t xml:space="preserve">Zang C, Biondi F. 2015. Treeclim: An r package for the numerical calibration of proxy-climate relationships. Ecography 38:431–6.</w:t>
      </w:r>
    </w:p>
    <w:bookmarkEnd w:id="146"/>
    <w:bookmarkStart w:id="147"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47"/>
    <w:bookmarkEnd w:id="148"/>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87" Target="http://dx.doi.org/10.1007/s10021-013-9719-3" TargetMode="External" /><Relationship Type="http://schemas.openxmlformats.org/officeDocument/2006/relationships/hyperlink" Id="rId96" Target="http://dx.doi.org/10.1029/2008JD010201" TargetMode="External" /><Relationship Type="http://schemas.openxmlformats.org/officeDocument/2006/relationships/hyperlink" Id="rId67" Target="http://dx.doi.org/10.1111/gcb.13366" TargetMode="External" /><Relationship Type="http://schemas.openxmlformats.org/officeDocument/2006/relationships/hyperlink" Id="rId124" Target="http://dx.doi.org/10.1111/j.1365-2486.2008.01570.x" TargetMode="External" /><Relationship Type="http://schemas.openxmlformats.org/officeDocument/2006/relationships/hyperlink" Id="rId105" Target="http://dx.doi.org/10.1111/j.1600-0706.2011.19372.x" TargetMode="External" /><Relationship Type="http://schemas.openxmlformats.org/officeDocument/2006/relationships/hyperlink" Id="rId113" Target="http://dx.doi.org/10.1890/0012-9615(1997)067[0225:RGACFR]2.0.CO;2" TargetMode="External" /><Relationship Type="http://schemas.openxmlformats.org/officeDocument/2006/relationships/hyperlink" Id="rId29" Target="http://spei.csic.es/database.html" TargetMode="External" /><Relationship Type="http://schemas.openxmlformats.org/officeDocument/2006/relationships/hyperlink" Id="rId47" Target="http://www.ecopotential-project.eu/" TargetMode="External" /><Relationship Type="http://schemas.openxmlformats.org/officeDocument/2006/relationships/hyperlink" Id="rId70" Target="http://www.mdpi.com/1999-4907/8/10/390" TargetMode="External" /><Relationship Type="http://schemas.openxmlformats.org/officeDocument/2006/relationships/hyperlink" Id="rId89" Target="http://www.sciencedirect.com/science/article/pii/S0378112713003678" TargetMode="External" /><Relationship Type="http://schemas.openxmlformats.org/officeDocument/2006/relationships/hyperlink" Id="rId133" Target="https://doi.org/10.1038/s41598-017-14283-2" TargetMode="External" /><Relationship Type="http://schemas.openxmlformats.org/officeDocument/2006/relationships/hyperlink" Id="rId65" Target="https://doi.org/10.1051/forest:2004017" TargetMode="External" /><Relationship Type="http://schemas.openxmlformats.org/officeDocument/2006/relationships/hyperlink" Id="rId107" Target="https://doi.org/10.1111/j.1365-2486.2004.00870.x" TargetMode="External" /><Relationship Type="http://schemas.openxmlformats.org/officeDocument/2006/relationships/hyperlink" Id="rId59" Target="https://doi.org/10.3390/su11030704" TargetMode="External" /><Relationship Type="http://schemas.openxmlformats.org/officeDocument/2006/relationships/hyperlink" Id="rId54" Target="https://doi.org/10.3959/2008-6.1" TargetMode="External" /><Relationship Type="http://schemas.openxmlformats.org/officeDocument/2006/relationships/hyperlink" Id="rId117" Target="https://www.mdpi.com/1999-4907/9/9/524" TargetMode="External" /></Relationships>
</file>

<file path=word/_rels/footnotes.xml.rels><?xml version="1.0" encoding="UTF-8"?>
<Relationships xmlns="http://schemas.openxmlformats.org/package/2006/relationships"><Relationship Type="http://schemas.openxmlformats.org/officeDocument/2006/relationships/hyperlink" Id="rId87" Target="http://dx.doi.org/10.1007/s10021-013-9719-3" TargetMode="External" /><Relationship Type="http://schemas.openxmlformats.org/officeDocument/2006/relationships/hyperlink" Id="rId96" Target="http://dx.doi.org/10.1029/2008JD010201" TargetMode="External" /><Relationship Type="http://schemas.openxmlformats.org/officeDocument/2006/relationships/hyperlink" Id="rId67" Target="http://dx.doi.org/10.1111/gcb.13366" TargetMode="External" /><Relationship Type="http://schemas.openxmlformats.org/officeDocument/2006/relationships/hyperlink" Id="rId124" Target="http://dx.doi.org/10.1111/j.1365-2486.2008.01570.x" TargetMode="External" /><Relationship Type="http://schemas.openxmlformats.org/officeDocument/2006/relationships/hyperlink" Id="rId105" Target="http://dx.doi.org/10.1111/j.1600-0706.2011.19372.x" TargetMode="External" /><Relationship Type="http://schemas.openxmlformats.org/officeDocument/2006/relationships/hyperlink" Id="rId113" Target="http://dx.doi.org/10.1890/0012-9615(1997)067[0225:RGACFR]2.0.CO;2" TargetMode="External" /><Relationship Type="http://schemas.openxmlformats.org/officeDocument/2006/relationships/hyperlink" Id="rId29" Target="http://spei.csic.es/database.html" TargetMode="External" /><Relationship Type="http://schemas.openxmlformats.org/officeDocument/2006/relationships/hyperlink" Id="rId47" Target="http://www.ecopotential-project.eu/" TargetMode="External" /><Relationship Type="http://schemas.openxmlformats.org/officeDocument/2006/relationships/hyperlink" Id="rId70" Target="http://www.mdpi.com/1999-4907/8/10/390" TargetMode="External" /><Relationship Type="http://schemas.openxmlformats.org/officeDocument/2006/relationships/hyperlink" Id="rId89" Target="http://www.sciencedirect.com/science/article/pii/S0378112713003678" TargetMode="External" /><Relationship Type="http://schemas.openxmlformats.org/officeDocument/2006/relationships/hyperlink" Id="rId133" Target="https://doi.org/10.1038/s41598-017-14283-2" TargetMode="External" /><Relationship Type="http://schemas.openxmlformats.org/officeDocument/2006/relationships/hyperlink" Id="rId65" Target="https://doi.org/10.1051/forest:2004017" TargetMode="External" /><Relationship Type="http://schemas.openxmlformats.org/officeDocument/2006/relationships/hyperlink" Id="rId107" Target="https://doi.org/10.1111/j.1365-2486.2004.00870.x" TargetMode="External" /><Relationship Type="http://schemas.openxmlformats.org/officeDocument/2006/relationships/hyperlink" Id="rId59" Target="https://doi.org/10.3390/su11030704" TargetMode="External" /><Relationship Type="http://schemas.openxmlformats.org/officeDocument/2006/relationships/hyperlink" Id="rId54" Target="https://doi.org/10.3959/2008-6.1" TargetMode="External" /><Relationship Type="http://schemas.openxmlformats.org/officeDocument/2006/relationships/hyperlink" Id="rId117" Target="https://www.mdpi.com/1999-4907/9/9/5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A.J. Perez-Luque1,2; G. Gea-Izquierdo3 and Zamora, R.1,2</dc:creator>
  <cp:keywords/>
  <dcterms:created xsi:type="dcterms:W3CDTF">2019-07-11T16:27:23Z</dcterms:created>
  <dcterms:modified xsi:type="dcterms:W3CDTF">2019-07-11T16:27:23Z</dcterms:modified>
</cp:coreProperties>
</file>