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Land-use</w:t>
      </w:r>
      <w:r>
        <w:t xml:space="preserve"> </w:t>
      </w:r>
      <w:r>
        <w:t xml:space="preserve">legacies</w:t>
      </w:r>
      <w:r>
        <w:t xml:space="preserve"> </w:t>
      </w:r>
      <w:r>
        <w:t xml:space="preserve">and</w:t>
      </w:r>
      <w:r>
        <w:t xml:space="preserve"> </w:t>
      </w:r>
      <w:r>
        <w:t xml:space="preserve">high</w:t>
      </w:r>
      <w:r>
        <w:t xml:space="preserve"> </w:t>
      </w:r>
      <w:r>
        <w:t xml:space="preserve">oak</w:t>
      </w:r>
      <w:r>
        <w:t xml:space="preserve"> </w:t>
      </w:r>
      <w:r>
        <w:t xml:space="preserve">resilience</w:t>
      </w:r>
      <w:r>
        <w:t xml:space="preserve"> </w:t>
      </w:r>
      <w:r>
        <w:t xml:space="preserve">to</w:t>
      </w:r>
      <w:r>
        <w:t xml:space="preserve"> </w:t>
      </w:r>
      <w:r>
        <w:t xml:space="preserve">drought</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w:t>
      </w:r>
      <w:r>
        <w:t xml:space="preserve"> </w:t>
      </w:r>
      <w:r>
        <w:t xml:space="preserve">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3"/>
      </w:pPr>
      <w:bookmarkStart w:id="20" w:name="Xe9d1b76ec3cadd010c47a337af3daca22d314b9"/>
      <w:r>
        <w:t xml:space="preserve">Short title:</w:t>
      </w:r>
      <w:r>
        <w:t xml:space="preserve"> </w:t>
      </w:r>
      <w:r>
        <w:rPr>
          <w:i/>
        </w:rPr>
        <w:t xml:space="preserve">Relict oak resilience at the rear 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Gea-Izquierdo, G.</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 levels</w:t>
      </w:r>
    </w:p>
    <w:p>
      <w:pPr>
        <w:pStyle w:val="Compact"/>
        <w:numPr>
          <w:numId w:val="1001"/>
          <w:ilvl w:val="0"/>
        </w:numPr>
      </w:pPr>
      <w:r>
        <w:t xml:space="preserve">Resilience and growth response to climate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 use employing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removal) in the current forest structure. Trees were highly sensitive to moisture availability but both primary and secondary growth expressed high resilience to drought events over the short and the long term. Resilience and response to climate followed a water-stress gradient. Primary and secondary growth were generally less resilient to drought in mesic than in xeric sites, whereas a positive growth trend matching the warming climate since the late 1970s was particularly evident in mesic (</w:t>
      </w:r>
      <w:r>
        <w:rPr>
          <w:i/>
        </w:rPr>
        <w:t xml:space="preserve">i.e.</w:t>
      </w:r>
      <w:r>
        <w:t xml:space="preserve"> </w:t>
      </w:r>
      <w:r>
        <w:t xml:space="preserve">colder and wetter) high-elevation stands, but absent in the most xeric (</w:t>
      </w:r>
      <w:r>
        <w:rPr>
          <w:i/>
        </w:rPr>
        <w:t xml:space="preserve">i.e.</w:t>
      </w:r>
      <w:r>
        <w:t xml:space="preserve"> </w:t>
      </w:r>
      <w:r>
        <w:t xml:space="preserve">warmer and drier) site.</w:t>
      </w:r>
    </w:p>
    <w:p>
      <w:pPr>
        <w:numPr>
          <w:numId w:val="1002"/>
          <w:ilvl w:val="0"/>
        </w:numPr>
      </w:pPr>
      <w:r>
        <w:t xml:space="preserve">Adult oak trees showed high resilience to drought despite being considered relict and at its rear edge. The trees varied in response to the changing climate along a narrow climatic gradient and showed that the ecological and geographical rear edges do not need to meet today in forests with strong land use legacies. Forest resilience including that of regeneration needs to be monitored at xeric of the species under future expected climatic scenarios given that ecological boundaries for species distribution can be narrow and that land-use legacies can play a key role in stand dynamics.</w:t>
      </w:r>
    </w:p>
    <w:p>
      <w:pPr>
        <w:pStyle w:val="Ttulo3"/>
      </w:pPr>
      <w:bookmarkStart w:id="28" w:name="keywords"/>
      <w:r>
        <w:t xml:space="preserve">Keywords</w:t>
      </w:r>
      <w:bookmarkEnd w:id="28"/>
    </w:p>
    <w:p>
      <w:pPr>
        <w:pStyle w:val="FirstParagraph"/>
      </w:pPr>
      <w:r>
        <w:t xml:space="preserve">extreme drought, resilience, rear edge,</w:t>
      </w:r>
      <w:r>
        <w:t xml:space="preserve"> </w:t>
      </w:r>
      <w:r>
        <w:rPr>
          <w:i/>
        </w:rPr>
        <w:t xml:space="preserve">Quercus pyrenaica</w:t>
      </w:r>
      <w:r>
        <w:t xml:space="preserve">, tree growth, dendrochronology, remote 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w:t>
      </w:r>
      <w:r>
        <w:t xml:space="preserve"> </w:t>
      </w:r>
      <w:r>
        <w:t xml:space="preserve">(</w:t>
      </w:r>
      <w:r>
        <w:rPr>
          <w:i/>
        </w:rPr>
        <w:t xml:space="preserve">i.e.</w:t>
      </w:r>
      <w:r>
        <w:t xml:space="preserve"> </w:t>
      </w:r>
      <w:r>
        <w:t xml:space="preserve">center-periphery hypothesis; Sagarin and Gaines 2002; Pironon and others 2016)</w:t>
      </w:r>
      <w:r>
        <w:t xml:space="preserve">. It has been assumed that rear-edge populations have a concordance between geographical and ecological marginality, with lower performance, higher vulnerability, and thus higher risk of extinction than do populations at the core of the species’ range</w:t>
      </w:r>
      <w:r>
        <w:t xml:space="preserve"> </w:t>
      </w:r>
      <w:r>
        <w:t xml:space="preserve">(Pironon and others 2016; Vilà-Cabrera and others 2019)</w:t>
      </w:r>
      <w:r>
        <w:t xml:space="preserve">. Nonetheless, recent reviews report that species- and population-specific responses do not always support this hypothesis</w:t>
      </w:r>
      <w:r>
        <w:t xml:space="preserve"> </w:t>
      </w:r>
      <w:r>
        <w:t xml:space="preserve">(Sexton and others 2009; Abeli and others 2014)</w:t>
      </w:r>
      <w:r>
        <w:t xml:space="preserve">. In this respect, to fully understand changes in distribution and abundance of species as a consequence of global-change, we need to determine under what environmental conditions geographical marginality does not correspond with ecological marginality</w:t>
      </w:r>
      <w:r>
        <w:t xml:space="preserve"> </w:t>
      </w:r>
      <w:r>
        <w:t xml:space="preserve">(Vilà-Cabrera and Jump 2019)</w:t>
      </w:r>
      <w:r>
        <w:t xml:space="preserve">.</w:t>
      </w:r>
    </w:p>
    <w:p>
      <w:pPr>
        <w:pStyle w:val="Textodecuerpo"/>
      </w:pPr>
      <w:r>
        <w:t xml:space="preserve">Climate change is expected to cause major shifts in the distribution and abundance of plant communities, and there are already signs of processes associated with increased intensity and duration of droughts</w:t>
      </w:r>
      <w:r>
        <w:t xml:space="preserve"> </w:t>
      </w:r>
      <w:r>
        <w:t xml:space="preserve">(Allen and others 2010)</w:t>
      </w:r>
      <w:r>
        <w:t xml:space="preserve">. In fact, the frequency and severity of drought events have increased in recent decades, along with a trend towards drier summers, particularly for Southern Europe</w:t>
      </w:r>
      <w:r>
        <w:t xml:space="preserve"> </w:t>
      </w:r>
      <w:r>
        <w:t xml:space="preserve">(Vicente-Serrano and others 2014; Stagge and others 2017)</w:t>
      </w:r>
      <w:r>
        <w:t xml:space="preserve">. This is especially critical, since climate-change projections for the Mediterranean area forecast more frequent and severe extreme climate events</w:t>
      </w:r>
      <w:r>
        <w:t xml:space="preserve"> </w:t>
      </w:r>
      <w:r>
        <w:t xml:space="preserve">(Spinoni and others 2017)</w:t>
      </w:r>
      <w:r>
        <w:t xml:space="preserve">. In this climatic-change context, population loss and range retractions are expected in boreal, temperate, and Mediterranean species at the lowest latitudes, elevations, and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 In a global-change context, the impact of drought on vegetation needs to be evaluated regarding the interactions with other drivers of change</w:t>
      </w:r>
      <w:r>
        <w:t xml:space="preserve"> </w:t>
      </w:r>
      <w:r>
        <w:t xml:space="preserve">(Doblas-Miranda and others 2017)</w:t>
      </w:r>
      <w:r>
        <w:t xml:space="preserve">. This is especially relevant for areas with a long history of landscape alteration, such as the Mediterranean region, where land-use change plays a major role in current ecosystem ecology</w:t>
      </w:r>
      <w:r>
        <w:t xml:space="preserve"> </w:t>
      </w:r>
      <w:r>
        <w:t xml:space="preserve">(Navarro-González and others 2013)</w:t>
      </w:r>
      <w:r>
        <w:t xml:space="preserve">, given that the interactions of drought and land-use change are crucial for Mediterranean forests</w:t>
      </w:r>
      <w:r>
        <w:t xml:space="preserve"> </w:t>
      </w:r>
      <w:r>
        <w:t xml:space="preserve">(Doblas-Miranda and others 2017)</w:t>
      </w:r>
      <w:r>
        <w:t xml:space="preserve">.</w:t>
      </w:r>
    </w:p>
    <w:p>
      <w:pPr>
        <w:pStyle w:val="Textodecuerpo"/>
      </w:pPr>
      <w:r>
        <w:t xml:space="preserve">The effects of drought are also especially relevant for populations considered to be located along the rear edge (either latitudinal or altitudinal along climatic gradients) of their distribution, where climatic conditions mark the species limits, and the populations are likely to be more sensitive to minor climatic and microtopographic variations</w:t>
      </w:r>
      <w:r>
        <w:t xml:space="preserve"> </w:t>
      </w:r>
      <w:r>
        <w:t xml:space="preserve">(Hampe and Petit 2005)</w:t>
      </w:r>
      <w:r>
        <w:t xml:space="preserve">. The response of rear-edge populations to climate variations could be useful in estimating the adaptation of species to predicted climatic changes</w:t>
      </w:r>
      <w:r>
        <w:t xml:space="preserve"> </w:t>
      </w:r>
      <w:r>
        <w:t xml:space="preserve">(Jump and others 2010)</w:t>
      </w:r>
      <w:r>
        <w:t xml:space="preserve">. Yet it is crucial to accurately characterize the ecological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this characterization becomes even more critical for relict populations driven by historical land uses when they harbor high levels of intraspecific genetic diversity</w:t>
      </w:r>
      <w:r>
        <w:t xml:space="preserve"> </w:t>
      </w:r>
      <w:r>
        <w:t xml:space="preserve">(Valbuena-Carabaña and Gil 2013)</w:t>
      </w:r>
      <w:r>
        <w:t xml:space="preserve">.</w:t>
      </w:r>
    </w:p>
    <w:p>
      <w:pPr>
        <w:pStyle w:val="Textodecuerpo"/>
      </w:pPr>
      <w:r>
        <w:t xml:space="preserve">Understanding the vegetation response to drought requires integrative and multidisciplinary strategies to assess the disturbances of forest at several scales</w:t>
      </w:r>
      <w:r>
        <w:t xml:space="preserve"> </w:t>
      </w:r>
      <w:r>
        <w:t xml:space="preserve">(Hartmann and others 2018)</w:t>
      </w:r>
      <w:r>
        <w:t xml:space="preserve">. The assessment of resilience to climate disturbances such as droughts provides critical information concerning the capacity of the forests to maintain their structure and render valuable ecosystem services. The drought resilience of species is better assessed when several approaches, such as dendrochronology and remote sensing, are combined. Dendroecological estimates of growth (</w:t>
      </w:r>
      <w:r>
        <w:rPr>
          <w:i/>
        </w:rPr>
        <w:t xml:space="preserve">i.e.</w:t>
      </w:r>
      <w:r>
        <w:t xml:space="preserve"> </w:t>
      </w:r>
      <w:r>
        <w:t xml:space="preserve">tree-ring width) are commonly used proxies to characterize tree vitality, and annual tree-ring widths can be used to study changes in growth as a response to drought at the individiual-tree scale</w:t>
      </w:r>
      <w:r>
        <w:t xml:space="preserve"> </w:t>
      </w:r>
      <w:r>
        <w:t xml:space="preserve">(Fritts 1976)</w:t>
      </w:r>
      <w:r>
        <w:t xml:space="preserve">. Remote sensing can be used to study the impact of drought on ecosystems and hence the stand level</w:t>
      </w:r>
      <w:r>
        <w:t xml:space="preserve"> </w:t>
      </w:r>
      <w:r>
        <w:t xml:space="preserve">(</w:t>
      </w:r>
      <w:r>
        <w:rPr>
          <w:i/>
        </w:rPr>
        <w:t xml:space="preserve">e.g.</w:t>
      </w:r>
      <w:r>
        <w:t xml:space="preserve"> </w:t>
      </w:r>
      <w:r>
        <w:t xml:space="preserve">Zhang and others 2013)</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to evaluate growth resilience to drought in several tree species</w:t>
      </w:r>
      <w:r>
        <w:t xml:space="preserve"> </w:t>
      </w:r>
      <w:r>
        <w:t xml:space="preserve">(</w:t>
      </w:r>
      <w:r>
        <w:rPr>
          <w:i/>
        </w:rPr>
        <w:t xml:space="preserve">e.g.</w:t>
      </w:r>
      <w:r>
        <w:t xml:space="preserve"> </w:t>
      </w:r>
      <w:r>
        <w:t xml:space="preserve">Gazol and others 2018; Peña-Gallardo and others 2018)</w:t>
      </w:r>
      <w:r>
        <w:t xml:space="preserve">. Nonetheless, it is crucial to ascertain wether the responses at the tree level differ from those at the ecosystem level and characterize the spatial variability of this response in rear-edge populations.</w:t>
      </w:r>
    </w:p>
    <w:p>
      <w:pPr>
        <w:pStyle w:val="Textodecuerpo"/>
      </w:pPr>
      <w:r>
        <w:t xml:space="preserve">In the present study, we used remote-sensing information and dendroecological methods to evaluate the impact of drought in both canopy greenness (as a proxy to primary growth) and radial tree growth (as a proxy for secondary growth) of</w:t>
      </w:r>
      <w:r>
        <w:t xml:space="preserve"> </w:t>
      </w:r>
      <w:r>
        <w:rPr>
          <w:i/>
        </w:rPr>
        <w:t xml:space="preserve">Quercus pyrenaica</w:t>
      </w:r>
      <w:r>
        <w:t xml:space="preserve"> </w:t>
      </w:r>
      <w:r>
        <w:t xml:space="preserve">Willd. (Pyrenean oak,</w:t>
      </w:r>
      <w:r>
        <w:t xml:space="preserve"> </w:t>
      </w:r>
      <w:r>
        <w:rPr>
          <w:i/>
        </w:rPr>
        <w:t xml:space="preserve">melojo</w:t>
      </w:r>
      <w:r>
        <w:t xml:space="preserve">)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over the long term (in the last few decades). Our main hypothesis is that these relict populations driven by historical land use are vulnerable to climate change at their present climatic (either elevational or latitudinal) rear edge, and hence will show low resilience to extreme drought along climatic gradients at a small scale within the rear edge. To test this hypothesis, we: (</w:t>
      </w:r>
      <w:r>
        <w:rPr>
          <w:i/>
        </w:rPr>
        <w:t xml:space="preserve">i</w:t>
      </w:r>
      <w:r>
        <w:t xml:space="preserve">) quantified how recent extreme drought events influenced primary and secondary growth of</w:t>
      </w:r>
      <w:r>
        <w:t xml:space="preserve"> </w:t>
      </w:r>
      <w:r>
        <w:rPr>
          <w:i/>
        </w:rPr>
        <w:t xml:space="preserve">Q. pyrenaica</w:t>
      </w:r>
      <w:r>
        <w:t xml:space="preserve"> </w:t>
      </w:r>
      <w:r>
        <w:t xml:space="preserve">forests at their present geographical rear edge; (</w:t>
      </w:r>
      <w:r>
        <w:rPr>
          <w:i/>
        </w:rPr>
        <w:t xml:space="preserve">ii</w:t>
      </w:r>
      <w:r>
        <w:t xml:space="preserve">) analyzed the long-term resilience of these forests to extreme drought events, using time-series of radial growth; (</w:t>
      </w:r>
      <w:r>
        <w:rPr>
          <w:i/>
        </w:rPr>
        <w:t xml:space="preserve">iii</w:t>
      </w:r>
      <w:r>
        <w:t xml:space="preserve">) and examined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w:t>
      </w:r>
      <w:r>
        <w:t xml:space="preserve"> </w:t>
      </w:r>
      <w:r>
        <w:rPr>
          <w:i/>
        </w:rPr>
        <w:t xml:space="preserve">melojo</w:t>
      </w:r>
      <w:r>
        <w:t xml:space="preserve"> </w:t>
      </w:r>
      <w:r>
        <w:t xml:space="preserve">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throughout south-western France and the Iberian Peninsula reaching their southern limit in mountain areas of northern Morocco</w:t>
      </w:r>
      <w:r>
        <w:t xml:space="preserve"> </w:t>
      </w:r>
      <w:r>
        <w:t xml:space="preserve">(Franco 1990)</w:t>
      </w:r>
      <w:r>
        <w:t xml:space="preserve">. In the Iberian Peninsula, these forests occupy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As a submediterranean species, it has lower drought tolerance than evergreen Mediterranean taxa</w:t>
      </w:r>
      <w:r>
        <w:t xml:space="preserve"> </w:t>
      </w:r>
      <w:r>
        <w:t xml:space="preserve">(Río and others 2007)</w:t>
      </w:r>
      <w:r>
        <w:t xml:space="preserve">.</w:t>
      </w:r>
    </w:p>
    <w:p>
      <w:pPr>
        <w:pStyle w:val="Textodecuerpo"/>
      </w:pPr>
      <w:r>
        <w:t xml:space="preserve">The forests of this species reach their southernmost European limit in Andalusian mountains such as Sierra Nevada (37°N, 3°W), a high-mountain range with elevations of up to 3482 m</w:t>
      </w:r>
      <w:r>
        <w:t xml:space="preserve"> </w:t>
      </w:r>
      <w:r>
        <w:rPr>
          <w:i/>
        </w:rPr>
        <w:t xml:space="preserve">a.s.l.</w:t>
      </w:r>
      <w:r>
        <w:t xml:space="preserve">. The climate is Mediterranean, characterized by cold winters and hot summers, with pronounced summer drought but with marked variability according to elevation. Sierra Nevada is considered a glacial refuge for deciduous</w:t>
      </w:r>
      <w:r>
        <w:t xml:space="preserve"> </w:t>
      </w:r>
      <w:r>
        <w:rPr>
          <w:i/>
        </w:rPr>
        <w:t xml:space="preserve">Quercus</w:t>
      </w:r>
      <w:r>
        <w:t xml:space="preserve"> </w:t>
      </w:r>
      <w:r>
        <w:t xml:space="preserve">species</w:t>
      </w:r>
      <w:r>
        <w:t xml:space="preserve"> </w:t>
      </w:r>
      <w:r>
        <w:t xml:space="preserve">(Olalde and others 2002)</w:t>
      </w:r>
      <w:r>
        <w:t xml:space="preserve">. Eight melojo oak patches (2400 ha) have been identified in this mountain range (Figure 1), from 1100 to 2000 m</w:t>
      </w:r>
      <w:r>
        <w:t xml:space="preserve"> </w:t>
      </w:r>
      <w:r>
        <w:rPr>
          <w:i/>
        </w:rPr>
        <w:t xml:space="preserve">a.s.l.</w:t>
      </w:r>
      <w:r>
        <w:t xml:space="preserve"> </w:t>
      </w:r>
      <w:r>
        <w:t xml:space="preserve">and often associated with major river valleys.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forest formation of Sierra Nevada, sheltering several endemic and endangered plant species</w:t>
      </w:r>
      <w:r>
        <w:t xml:space="preserve"> </w:t>
      </w:r>
      <w:r>
        <w:t xml:space="preserve">(Lorite and others 2008)</w:t>
      </w:r>
      <w:r>
        <w:t xml:space="preserve">. These relict forests have undergone intensive human use throughout history</w:t>
      </w:r>
      <w:r>
        <w:t xml:space="preserve"> </w:t>
      </w:r>
      <w:r>
        <w:t xml:space="preserve">(Camacho-Olmedo and others 2002)</w:t>
      </w:r>
      <w:r>
        <w:t xml:space="preserve">. Furthermore, the conservation status of this species for southern Spain is considered</w:t>
      </w:r>
      <w:r>
        <w:t xml:space="preserve"> </w:t>
      </w:r>
      <w:r>
        <w:t xml:space="preserve">“</w:t>
      </w:r>
      <w:r>
        <w:t xml:space="preserve">Vulnerable</w:t>
      </w:r>
      <w:r>
        <w:t xml:space="preserve">”</w:t>
      </w:r>
      <w:r>
        <w:t xml:space="preserve"> </w:t>
      </w:r>
      <w:r>
        <w:t xml:space="preserve">and it is expected to suffer from climate change, reducing its suitable habitats in the near future</w:t>
      </w:r>
      <w:r>
        <w:t xml:space="preserve"> </w:t>
      </w:r>
      <w:r>
        <w:t xml:space="preserve">(Gea-Izquierdo and others 2013)</w:t>
      </w:r>
      <w:r>
        <w:t xml:space="preserve">.</w:t>
      </w:r>
    </w:p>
    <w:p>
      <w:pPr>
        <w:pStyle w:val="Ttulo3"/>
      </w:pPr>
      <w:bookmarkStart w:id="32" w:name="climatic-data-and-drought-episodes"/>
      <w:r>
        <w:t xml:space="preserve">Climatic data and drought episodes</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had a 0.25 x 0.25 º resolution for the 1950-2016 period. Grid cells were select to cover each sampled site. The SPEI (Standardized Precipitation-Evapotranspiration Index)</w:t>
      </w:r>
      <w:r>
        <w:t xml:space="preserve"> </w:t>
      </w:r>
      <w:r>
        <w:t xml:space="preserve">(Vicente-Serrano and others 2010)</w:t>
      </w:r>
      <w:r>
        <w:t xml:space="preserve"> </w:t>
      </w:r>
      <w:r>
        <w:t xml:space="preserve">index with a temporal scale of 6 months was used to characterize the drought conditions for the period 1961-2014.</w:t>
      </w:r>
    </w:p>
    <w:p>
      <w:pPr>
        <w:pStyle w:val="Textodecuerpo"/>
      </w:pPr>
      <w:r>
        <w:t xml:space="preserve">The Iberian Peninsula underwent several extreme drought episodes in the last three decades (</w:t>
      </w:r>
      <w:r>
        <w:rPr>
          <w:i/>
        </w:rPr>
        <w:t xml:space="preserve">e.g</w:t>
      </w:r>
      <w:r>
        <w:t xml:space="preserve">. 1995, 1999, 2005, 2012)</w:t>
      </w:r>
      <w:r>
        <w:t xml:space="preserve"> </w:t>
      </w:r>
      <w:r>
        <w:t xml:space="preserve">(Vicente-Serrano and others 2014)</w:t>
      </w:r>
      <w:r>
        <w:t xml:space="preserve">. The 2005 and 2012 drought events have been documented as being among the worst in recent decades for the southern Iberian Peninsula</w:t>
      </w:r>
      <w:r>
        <w:t xml:space="preserve"> </w:t>
      </w:r>
      <w:r>
        <w:t xml:space="preserve">(Páscoa and others 2017)</w:t>
      </w:r>
      <w:r>
        <w:t xml:space="preserve">, and they were characterized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w:t>
      </w:r>
      <w:r>
        <w:t xml:space="preserve"> </w:t>
      </w:r>
      <w:r>
        <w:t xml:space="preserve">Spinoni and others (2015)</w:t>
      </w:r>
      <w:r>
        <w:t xml:space="preserve">. We used 0.5º grid cells covering Sierra Nevada taken from the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fall below that threshold for at least two consecutive months. For each drought event, we computed: the</w:t>
      </w:r>
      <w:r>
        <w:t xml:space="preserve"> </w:t>
      </w:r>
      <w:r>
        <w:rPr>
          <w:i/>
        </w:rPr>
        <w:t xml:space="preserve">duration</w:t>
      </w:r>
      <w:r>
        <w:t xml:space="preserve"> </w:t>
      </w:r>
      <w:r>
        <w:t xml:space="preserve">as the number of consecutive months with the SPEI lower than a certain threshold; the</w:t>
      </w:r>
      <w:r>
        <w:t xml:space="preserve"> </w:t>
      </w:r>
      <w:r>
        <w:rPr>
          <w:i/>
        </w:rPr>
        <w:t xml:space="preserve">severity</w:t>
      </w:r>
      <w:r>
        <w:t xml:space="preserve"> </w:t>
      </w:r>
      <w:r>
        <w:t xml:space="preserve">as the sum of the absolute SPEI values during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Any values affected by clouds, snow, shadows or high content of aerosols, were filtered out following recommendations for mountain regions</w:t>
      </w:r>
      <w:r>
        <w:t xml:space="preserve"> </w:t>
      </w:r>
      <w:r>
        <w:t xml:space="preserve">(Reyes-Díez and others 2015)</w:t>
      </w:r>
      <w:r>
        <w:t xml:space="preserve">.</w:t>
      </w:r>
    </w:p>
    <w:p>
      <w:pPr>
        <w:pStyle w:val="Textodecuerpo"/>
      </w:pPr>
      <w:r>
        <w:t xml:space="preserve">The mean Annual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in order to minimize bias in the evaluation of anomalies and to provide more information concerning their magnitude</w:t>
      </w:r>
      <w:r>
        <w:t xml:space="preserve"> </w:t>
      </w:r>
      <w:r>
        <w:t xml:space="preserve">(Samanta and others 2012)</w:t>
      </w:r>
      <w:r>
        <w:t xml:space="preserve">. For each pixel, an annual EVI value was calculated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such as the NDVI,</w:t>
      </w:r>
      <w:r>
        <w:t xml:space="preserve"> </w:t>
      </w:r>
      <m:oMath>
        <m:r>
          <m:t>E</m:t>
        </m:r>
        <m:r>
          <m:t>V</m:t>
        </m:r>
        <m:sSub>
          <m:e>
            <m:r>
              <m:t>I</m:t>
            </m:r>
          </m:e>
          <m:sub>
            <m:r>
              <m:t>m</m:t>
            </m:r>
            <m:r>
              <m:t>e</m:t>
            </m:r>
            <m:r>
              <m:t>a</m:t>
            </m:r>
            <m:r>
              <m:t>n</m:t>
            </m:r>
          </m:sub>
        </m:sSub>
      </m:oMath>
      <w:r>
        <w:t xml:space="preserve"> </w:t>
      </w:r>
      <w:r>
        <w:t xml:space="preserve">was chosen because it is highly stable under the use of any filter</w:t>
      </w:r>
      <w:r>
        <w:t xml:space="preserve"> </w:t>
      </w:r>
      <w:r>
        <w:t xml:space="preserve">(Reyes-Díez and others 2015)</w:t>
      </w:r>
      <w:r>
        <w:t xml:space="preserve"> </w:t>
      </w:r>
      <w:r>
        <w:t xml:space="preserve">and because it showed highly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examined at the pixel scale, using the Mann–Kendall nonparametric test.</w:t>
      </w:r>
    </w:p>
    <w:p>
      <w:pPr>
        <w:pStyle w:val="Ttulo3"/>
      </w:pPr>
      <w:bookmarkStart w:id="35" w:name="Xda25cda6a892a31212df9adf2821ed9a29b7ade"/>
      <w:r>
        <w:t xml:space="preserve">Field sampling and dendrochronological methods to assess individual tree resilience</w:t>
      </w:r>
      <w:bookmarkEnd w:id="35"/>
    </w:p>
    <w:p>
      <w:pPr>
        <w:pStyle w:val="FirstParagraph"/>
      </w:pPr>
      <w:r>
        <w:t xml:space="preserve">Trees were sampled during autumn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sampled aspect.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At each site, between 15 and 20 trees from either the single dominant-codominant layer in CA or the open canopy in SJ were randomly sampled. Two cores of 5 mm of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pPr>
        <w:pStyle w:val="Textodecuerpo"/>
      </w:pPr>
      <w:r>
        <w:t xml:space="preserve">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established by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In theory, BAI represents a more accurate indicator of growth than ring width, since it removes variation in growth attributable to increasing stem circumference after 30-40 years of juvenile growth</w:t>
      </w:r>
      <w:r>
        <w:t xml:space="preserve"> </w:t>
      </w:r>
      <w:r>
        <w:t xml:space="preserve">(Biondi and Qeadan 2008)</w:t>
      </w:r>
      <w:r>
        <w:t xml:space="preserve">. Raw ring widths and measured DBH were used to compute BAI</w:t>
      </w:r>
      <w:r>
        <w:t xml:space="preserve"> </w:t>
      </w:r>
      <w:r>
        <w:t xml:space="preserve">(Piovesan and others 2008)</w:t>
      </w:r>
      <w:r>
        <w:t xml:space="preserve"> </w:t>
      </w:r>
      <w:r>
        <w:t xml:space="preserve">with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determined by averaging individual tree BAI time series.</w:t>
      </w:r>
    </w:p>
    <w:p>
      <w:pPr>
        <w:pStyle w:val="Ttulo3"/>
      </w:pPr>
      <w:bookmarkStart w:id="36" w:name="disturbance-analyses"/>
      <w:r>
        <w:t xml:space="preserve">Disturbance analyses</w:t>
      </w:r>
      <w:bookmarkEnd w:id="36"/>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Site-disturbance chronologies were constructed by annually averaging the individual disturbance series. To separate growth peaks caused by disturbance events and expressing stand-wise disturbances from those by climate, we considered a threshold of 50%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pPr>
        <w:pStyle w:val="Ttulo3"/>
      </w:pPr>
      <w:bookmarkStart w:id="37" w:name="X871e60eafc1267618a9d0a5127bc38021b56c40"/>
      <w:r>
        <w:t xml:space="preserve">Assessing ecosystem and tree individual resilience to drought</w:t>
      </w:r>
      <w:bookmarkEnd w:id="37"/>
    </w:p>
    <w:p>
      <w:pPr>
        <w:pStyle w:val="FirstParagraph"/>
      </w:pPr>
      <w:r>
        <w:t xml:space="preserve">To evaluate the effects of drought events on ecosystem resilience (using greenness data) and individual tree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computed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8" w:name="statistical-analysis"/>
      <w:r>
        <w:t xml:space="preserve">Statistical analysis</w:t>
      </w:r>
      <w:bookmarkEnd w:id="38"/>
    </w:p>
    <w:p>
      <w:pPr>
        <w:pStyle w:val="FirstParagraph"/>
      </w:pPr>
      <w:r>
        <w:t xml:space="preserve">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 For each of the three resilience indices studied, we used robust two-way ANOVAs to test for differences between drought events (2005 and 2012) and the oak populations studied (northern and southern aspects). These tests were used because original and log-transformed data did not follow the assumptions of normality or homogeneity of variance</w:t>
      </w:r>
      <w:r>
        <w:t xml:space="preserve"> </w:t>
      </w:r>
      <w:r>
        <w:t xml:space="preserve">(Wilcox 2012)</w:t>
      </w:r>
      <w:r>
        <w:t xml:space="preserve">. Robust measures of central tendency (M-estimator based on Huber’s Psi) were used because they were close to the mean value in all cases</w:t>
      </w:r>
      <w:r>
        <w:t xml:space="preserve"> </w:t>
      </w:r>
      <w:r>
        <w:t xml:space="preserve">(Wilcox 2012)</w:t>
      </w:r>
      <w:r>
        <w:t xml:space="preserve">. When the robust ANOVA test was run, data were bootstrapped 3000 times and trimmed automatically to control the potential influence of outliers.</w:t>
      </w:r>
      <w:r>
        <w:t xml:space="preserve"> </w:t>
      </w:r>
      <w:r>
        <w:rPr>
          <w:i/>
        </w:rPr>
        <w:t xml:space="preserve">Post-hoc</w:t>
      </w:r>
      <w:r>
        <w:t xml:space="preserve"> </w:t>
      </w:r>
      <w:r>
        <w:t xml:space="preserve">differences were assessed pairwise using a similar bootstrap test. All the robust ANOVA and</w:t>
      </w:r>
      <w:r>
        <w:t xml:space="preserve"> </w:t>
      </w:r>
      <w:r>
        <w:rPr>
          <w:i/>
        </w:rPr>
        <w:t xml:space="preserve">post-hoc</w:t>
      </w:r>
      <w:r>
        <w:t xml:space="preserve"> </w:t>
      </w:r>
      <w:r>
        <w:t xml:space="preserve">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39" w:name="results"/>
      <w:r>
        <w:t xml:space="preserve">Results</w:t>
      </w:r>
      <w:bookmarkEnd w:id="39"/>
    </w:p>
    <w:p>
      <w:pPr>
        <w:pStyle w:val="Ttulo3"/>
      </w:pPr>
      <w:bookmarkStart w:id="40" w:name="time-trends-in-vegetation-greenness"/>
      <w:r>
        <w:t xml:space="preserve">Time trends in vegetation greenness</w:t>
      </w:r>
      <w:bookmarkEnd w:id="40"/>
    </w:p>
    <w:p>
      <w:pPr>
        <w:pStyle w:val="FirstParagraph"/>
      </w:pPr>
      <w:r>
        <w:t xml:space="preserve">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found during this drought event, whereas no changes in greenness in response to the 2012 drought were detected (Figure 2b).</w:t>
      </w:r>
    </w:p>
    <w:p>
      <w:pPr>
        <w:pStyle w:val="Ttulo3"/>
      </w:pPr>
      <w:bookmarkStart w:id="41" w:name="X95ec95a08bd2278f96e504f61d6be87d34a1acc"/>
      <w:r>
        <w:t xml:space="preserve">Analysis of radial-growth trends and disturbances</w:t>
      </w:r>
      <w:bookmarkEnd w:id="41"/>
    </w:p>
    <w:p>
      <w:pPr>
        <w:pStyle w:val="FirstParagraph"/>
      </w:pPr>
      <w:r>
        <w:t xml:space="preserve">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 xml:space="preserve">i.e.</w:t>
      </w:r>
      <w:r>
        <w:t xml:space="preserve"> </w:t>
      </w:r>
      <w:r>
        <w:t xml:space="preserve">the wetter aspect) showed significant positive growth trends since the late 1970s (Figure 3), this trend being far more pronounced for the high elevation, the wetter, colder site (CA-High).</w:t>
      </w:r>
    </w:p>
    <w:p>
      <w:pPr>
        <w:pStyle w:val="Textodecuerpo"/>
      </w:pPr>
      <w:r>
        <w:t xml:space="preserve">Drought events reduced radial growth for all sites (Figure S2a), this negative effect being particularly evident for the 1995 drought (the worst drought spell in our climatic record, Table S3), when the greatest growth reduction was recorded for all chronologies. Tree-growth reduction followed a moisture gradient. The southern sites (CA-High and CA-Low) showed less tree-growth reductions than did the northern site (SJ), especially for 2005 and 2012 (Figure S2a), with the weakest growth reductions being in trees from the wettest site (Figure 3).</w:t>
      </w:r>
    </w:p>
    <w:p>
      <w:pPr>
        <w:pStyle w:val="Textodecuerpo"/>
      </w:pPr>
      <w:r>
        <w:t xml:space="preserve">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pPr>
        <w:pStyle w:val="Ttulo3"/>
      </w:pPr>
      <w:bookmarkStart w:id="42" w:name="Xd52b5e61661bccae436cc017c60df764c7d669f"/>
      <w:r>
        <w:t xml:space="preserve">Resilience to drought events at the ecosystem and individual-tree levels</w:t>
      </w:r>
      <w:bookmarkEnd w:id="42"/>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found for</w:t>
      </w:r>
      <w:r>
        <w:t xml:space="preserve"> </w:t>
      </w:r>
      <w:r>
        <w:rPr>
          <w:i/>
        </w:rPr>
        <w:t xml:space="preserve">Rs</w:t>
      </w:r>
      <w:r>
        <w:t xml:space="preserve"> </w:t>
      </w:r>
      <w:r>
        <w:t xml:space="preserve">but proved significant only for SJ. Importantly, non-significant patterns resulted when we excluded 1995, except for</w:t>
      </w:r>
      <w:r>
        <w:t xml:space="preserve"> </w:t>
      </w:r>
      <w:r>
        <w:rPr>
          <w:i/>
        </w:rPr>
        <w:t xml:space="preserve">Rc</w:t>
      </w:r>
      <w:r>
        <w:t xml:space="preserve"> </w:t>
      </w:r>
      <w:r>
        <w:t xml:space="preserve">in SJ (Figure S5). The trees showed the highest value of tree-growth resilience for 1995, the worst drought event in our study area, particularly SJ where our results suggest a major release event also after 1995 (Figure 4).</w:t>
      </w:r>
    </w:p>
    <w:p>
      <w:pPr>
        <w:pStyle w:val="Textodecuerpo"/>
      </w:pPr>
      <w:r>
        <w:t xml:space="preserve">During the last two drought events, resilience metrics for greenness and tree-growth were significantly different between drought events (Table S1).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pPr>
        <w:pStyle w:val="Textodecuerpo"/>
      </w:pPr>
      <w:r>
        <w:t xml:space="preserve">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pPr>
        <w:pStyle w:val="Ttulo3"/>
      </w:pPr>
      <w:bookmarkStart w:id="43" w:name="tree-growth-response-to-climate"/>
      <w:r>
        <w:t xml:space="preserve">Tree-growth response to climate</w:t>
      </w:r>
      <w:bookmarkEnd w:id="43"/>
    </w:p>
    <w:p>
      <w:pPr>
        <w:pStyle w:val="FirstParagraph"/>
      </w:pPr>
      <w:r>
        <w:t xml:space="preserve">The response of tree growth to water availability was greater than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w:t>
      </w:r>
      <w:r>
        <w:t xml:space="preserve"> </w:t>
      </w:r>
      <w:r>
        <w:rPr>
          <w:i/>
        </w:rPr>
        <w:t xml:space="preserve">vs.</w:t>
      </w:r>
      <w:r>
        <w:t xml:space="preserve"> </w:t>
      </w:r>
      <w:r>
        <w:t xml:space="preserve">r &lt; 0.5; Figure 7a). In addition, the spring maximum temperature was the most significant limitation for treemgrowth only for the southern populations (Figure 7b and 7c), whereas minimum and maximum temperatures of the current September positively influenced tree growth only in the northern population.</w:t>
      </w:r>
    </w:p>
    <w:p>
      <w:pPr>
        <w:pStyle w:val="Ttulo2"/>
      </w:pPr>
      <w:bookmarkStart w:id="44" w:name="discussion"/>
      <w:r>
        <w:t xml:space="preserve">Discussion</w:t>
      </w:r>
      <w:bookmarkEnd w:id="44"/>
    </w:p>
    <w:p>
      <w:pPr>
        <w:pStyle w:val="FirstParagraph"/>
      </w:pPr>
      <w:r>
        <w:t xml:space="preserve">By using a combined approach of remote-sensing information and dendrochronology, we have quantified the drought impact on the melojo oak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aspect, local environmental conditions, and management legacies. This means that the geographical and the ecological rear edges do not necessarily match and, at a small spatial scale, tree performance varies markedly along the rear edge under climate change.</w:t>
      </w:r>
    </w:p>
    <w:p>
      <w:pPr>
        <w:pStyle w:val="Ttulo3"/>
      </w:pPr>
      <w:bookmarkStart w:id="45" w:name="X3ee3e54e26e1befcd3da00795e9bed32802b27b"/>
      <w:r>
        <w:t xml:space="preserve">Land-use legacies shape sensitivity to climate change of forests and the present rear edge</w:t>
      </w:r>
      <w:bookmarkEnd w:id="45"/>
    </w:p>
    <w:p>
      <w:pPr>
        <w:pStyle w:val="FirstParagraph"/>
      </w:pPr>
      <w:r>
        <w:t xml:space="preserve">The review of historical documents revealed that forest clearings, firewood removal, charcoal making, and mining have strongly affected the forests on Sierra Nevada (Table S4), where an estimated historical loss of broadleaf</w:t>
      </w:r>
      <w:r>
        <w:t xml:space="preserve"> </w:t>
      </w:r>
      <w:r>
        <w:rPr>
          <w:i/>
        </w:rPr>
        <w:t xml:space="preserve">Quercus</w:t>
      </w:r>
      <w:r>
        <w:t xml:space="preserve"> </w:t>
      </w:r>
      <w:r>
        <w:t xml:space="preserve">species approaches 90% of the cover at medium and low elevations</w:t>
      </w:r>
      <w:r>
        <w:t xml:space="preserve"> </w:t>
      </w:r>
      <w:r>
        <w:t xml:space="preserve">(Jiménez-Olivencia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 xml:space="preserve">i.e.</w:t>
      </w:r>
      <w:r>
        <w:t xml:space="preserve"> </w:t>
      </w:r>
      <w:r>
        <w:t xml:space="preserve">land-use legacy) between northern (coppice) and southern populations (high forest, open woodland). On the northern slopes of Sierra Nevada (</w:t>
      </w:r>
      <w:r>
        <w:rPr>
          <w:i/>
        </w:rPr>
        <w:t xml:space="preserve">e.g.</w:t>
      </w:r>
      <w:r>
        <w:t xml:space="preserve"> </w:t>
      </w:r>
      <w:r>
        <w:t xml:space="preserve">SJ site), land uses have been historically distributed along an elevational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such as mining must have altered the forest structure,</w:t>
      </w:r>
      <w:r>
        <w:t xml:space="preserve"> </w:t>
      </w:r>
      <w:r>
        <w:rPr>
          <w:i/>
        </w:rPr>
        <w:t xml:space="preserve">e.g.</w:t>
      </w:r>
      <w:r>
        <w:t xml:space="preserve"> </w:t>
      </w:r>
      <w:r>
        <w:t xml:space="preserve">the SJ site has many small mines and quarries that were exploited intermittently throughout history. The release growth event discerned for the 1940s concurs with a period of maximum mining activity in this area (1925 to 1957) (Table S4), during wich timbers use increased for mine tunnels and furnaces, these also requiring large amounts of firewood to melt the mineral. This heavy exploitation of the neighboring forest resources must have affected a significant part of this oak woodland, as shown by growth of the remnant trees included in the northern site (Figure S2b). On the other hand, woodlands on the southern slopes (</w:t>
      </w:r>
      <w:r>
        <w:rPr>
          <w:i/>
        </w:rPr>
        <w:t xml:space="preserve">e.g.</w:t>
      </w:r>
      <w:r>
        <w:t xml:space="preserve"> </w:t>
      </w:r>
      <w:r>
        <w:t xml:space="preserve">CA site) were mixed with a greater percentage of croplands along the elevational gradient where oaks grow</w:t>
      </w:r>
      <w:r>
        <w:t xml:space="preserve"> </w:t>
      </w:r>
      <w:r>
        <w:t xml:space="preserve">(Jiménez-Olivencia and others 2015)</w:t>
      </w:r>
      <w:r>
        <w:t xml:space="preserve">. Firewood, charcoal, and acorns have been resources intensively exploited at southern sites, until at least the middle of the 20th-century, when these activities sharply decreased mainly due to rural abandonment and use of gas and fossil fuels</w:t>
      </w:r>
      <w:r>
        <w:t xml:space="preserve"> </w:t>
      </w:r>
      <w:r>
        <w:t xml:space="preserve">(Valbuena-Carabaña and Gil 2013)</w:t>
      </w:r>
      <w:r>
        <w:t xml:space="preserve">. At the CA-High site, the only positive release event found for the earliest years could be related with conversion from closed forest to an open silvopastoral system, a common management type which has been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w:t>
      </w:r>
    </w:p>
    <w:p>
      <w:pPr>
        <w:pStyle w:val="Textodecuerpo"/>
      </w:pPr>
      <w:r>
        <w:t xml:space="preserve">The other release event observed for the SJ site during 1995-2000 was lower than during 1940, but also affected most trees (Figures 4, S2b). No records of forest practices in this area over the last 30 years have been found</w:t>
      </w:r>
      <w:r>
        <w:t xml:space="preserve"> </w:t>
      </w:r>
      <w:r>
        <w:t xml:space="preserve">(Bonet and others 2016)</w:t>
      </w:r>
      <w:r>
        <w:t xml:space="preserve">, and no logging has been recorded during the period 1995 - 2000 (F.J. Cano-Manuel</w:t>
      </w:r>
      <w:r>
        <w:t xml:space="preserve"> </w:t>
      </w:r>
      <w:r>
        <w:rPr>
          <w:i/>
        </w:rPr>
        <w:t xml:space="preserve">personal communication</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 growth for this site show high sensitivity to water availability</w:t>
      </w:r>
      <w:r>
        <w:t xml:space="preserve"> </w:t>
      </w:r>
      <w:r>
        <w:t xml:space="preserve">(Gea-Izquierdo and Cañellas 2014)</w:t>
      </w:r>
      <w:r>
        <w:t xml:space="preserve">.</w:t>
      </w:r>
    </w:p>
    <w:p>
      <w:pPr>
        <w:pStyle w:val="Ttulo3"/>
      </w:pPr>
      <w:bookmarkStart w:id="46" w:name="X3c3becee9e4b19b875b7ef5c4a57c661a94a2a8"/>
      <w:r>
        <w:t xml:space="preserve">Sensitivity (resistance) of relict oaks to recent drought events</w:t>
      </w:r>
      <w:bookmarkEnd w:id="46"/>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 growth in response to the 2005 and 2012 drought events as well as by the consistent radial-growth suppression for this oak species during extreme drought events</w:t>
      </w:r>
      <w:r>
        <w:t xml:space="preserve"> </w:t>
      </w:r>
      <w:r>
        <w:t xml:space="preserve">(Corcuera and others 2006; Gea-Izquierdo and Cañellas 2014)</w:t>
      </w:r>
      <w:r>
        <w:t xml:space="preserve">. Furthermore, the greatest reduction of tree growth was detected during the 1995 drought, a characteristic negative precipitation anomaly that caused severe and extensive damage to the Mediterranean vegetation across the Iberian Peninsula</w:t>
      </w:r>
      <w:r>
        <w:t xml:space="preserve"> </w:t>
      </w:r>
      <w:r>
        <w:t xml:space="preserve">(Peñuelas and others 2001; Gazol and others 2018)</w:t>
      </w:r>
      <w:r>
        <w:t xml:space="preserve">. Similar to the situation with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its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w:t>
      </w:r>
    </w:p>
    <w:p>
      <w:pPr>
        <w:pStyle w:val="Textodecuerpo"/>
      </w:pPr>
      <w:r>
        <w:t xml:space="preserve">Greenness proved less sensitive to drought than did tree growth, particularly for drier sites. These findings agree with previous works showing tree growth to be a more sensitive metric of forest resilience than is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suggesting that the growth reduction could mediated by sink more than by source limitations</w:t>
      </w:r>
      <w:r>
        <w:t xml:space="preserve"> </w:t>
      </w:r>
      <w:r>
        <w:t xml:space="preserve">(Körner 2013; Fatichi and others 2014)</w:t>
      </w:r>
      <w:r>
        <w:t xml:space="preserve">. Tree-ring records complement remote-sensing data in longer time scales by reflecting tree-growth anomalies induced by climate or disturbance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w:t>
      </w:r>
      <w:r>
        <w:t xml:space="preserve"> </w:t>
      </w:r>
      <w:r>
        <w:t xml:space="preserve">(Gea-Izquierdo and Cañellas 2014)</w:t>
      </w:r>
      <w:r>
        <w:t xml:space="preserve">. It is well known that tree growth and tree responses to drought are site-dependent</w:t>
      </w:r>
      <w:r>
        <w:t xml:space="preserve"> </w:t>
      </w:r>
      <w:r>
        <w:t xml:space="preserve">(</w:t>
      </w:r>
      <w:r>
        <w:rPr>
          <w:i/>
        </w:rPr>
        <w:t xml:space="preserve">e.g.</w:t>
      </w:r>
      <w:r>
        <w:t xml:space="preserve"> </w:t>
      </w:r>
      <w:r>
        <w:t xml:space="preserve">soil features, tree competition, etc.; Babst and others 2013)</w:t>
      </w:r>
      <w:r>
        <w:t xml:space="preserve">, particularly for rear-edge populations</w:t>
      </w:r>
      <w:r>
        <w:t xml:space="preserve"> </w:t>
      </w:r>
      <w:r>
        <w:t xml:space="preserve">(Cavin and Jump 2017; Dorado-Liñán and others 2017b)</w:t>
      </w:r>
      <w:r>
        <w:t xml:space="preserve">. Trees at CA-High registered higher BAI than those located at lower elevations (CA-Low and SJ; Figure 4). This shows the high variability in the response to climate exhibited along a narrow gradient, which is especially noteworthy for southern sites, as these lie very close to each other and overall both are considered to constitute the rear edge for the species.</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Despite the severe drought events in recent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wet decade in the 2000s after a dry decade in the 1990s</w:t>
      </w:r>
      <w:r>
        <w:t xml:space="preserve"> </w:t>
      </w:r>
      <w:r>
        <w:t xml:space="preserve">(Pérez-Luque and others 2015a)</w:t>
      </w:r>
      <w:r>
        <w:t xml:space="preserve">. For tree growth, positive trends also appeared in the last decade, particularly for the southern high-elevation site (CA-High, Figure 4). Similar long-term trends have been described for this species along its distribution range only at high-elevation wet and cold sites</w:t>
      </w:r>
      <w:r>
        <w:t xml:space="preserve"> </w:t>
      </w:r>
      <w:r>
        <w:t xml:space="preserve">(Gea-Izquierdo and Cañellas 2014)</w:t>
      </w:r>
      <w:r>
        <w:t xml:space="preserve">, which could be related to a non-linear positive effect of warming for the species at cold-limited high-elevation sites</w:t>
      </w:r>
      <w:r>
        <w:t xml:space="preserve"> </w:t>
      </w:r>
      <w:r>
        <w:t xml:space="preserve">(Salzer and others 2009; Gea-Izquierdo and Cañellas 2014)</w:t>
      </w:r>
      <w:r>
        <w:t xml:space="preserve">. Importantly, for rear edges threatened by climate change, negative growth trends would have been expected, as shown for some temperate and Mediterranean species</w:t>
      </w:r>
      <w:r>
        <w:t xml:space="preserve"> </w:t>
      </w:r>
      <w:r>
        <w:t xml:space="preserve">(Sánchez-Salguero and others 2012; Camarero and others 2015b; Dorado-Liñán and others 2017a)</w:t>
      </w:r>
      <w:r>
        <w:t xml:space="preserve">.</w:t>
      </w:r>
    </w:p>
    <w:p>
      <w:pPr>
        <w:pStyle w:val="Textodecuerpo"/>
      </w:pPr>
      <w:r>
        <w:t xml:space="preserve">Althought the 2012 drought event was more severe and intense than that of 2005 (Table S3), resilience values for greenness and tree-growth were greater for 2012. This could be due to the different timing of the two droughts. The 2012 event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highlights the importance of the timing of the drought as a key factor determining tree recovery after drought</w:t>
      </w:r>
      <w:r>
        <w:t xml:space="preserve"> </w:t>
      </w:r>
      <w:r>
        <w:t xml:space="preserve">(Camarero and others 2015a; Huang and others 2018)</w:t>
      </w:r>
      <w:r>
        <w:t xml:space="preserve">. For tree growth, the highest values of resilience were found for the two most severe events (1995 and 1999; Table S3) and tree-growth resilience was positively related to drought severity (Figure 5).</w:t>
      </w:r>
    </w:p>
    <w:p>
      <w:pPr>
        <w:pStyle w:val="Textodecuerpo"/>
      </w:pPr>
      <w:r>
        <w:t xml:space="preserve">The high drought-resilience values reported here, coinciding with high values of genetic resilience for those forests at Sierra Nevada reported elsewhere</w:t>
      </w:r>
      <w:r>
        <w:t xml:space="preserve"> </w:t>
      </w:r>
      <w:r>
        <w:t xml:space="preserve">(Valbuena-Carabaña and Gil 2013, 2017)</w:t>
      </w:r>
      <w:r>
        <w:t xml:space="preserve"> </w:t>
      </w:r>
      <w:r>
        <w:t xml:space="preserve">appear to indicate the strong local adaptation of this oak. Our findings agree with those of studies showing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w:t>
      </w:r>
      <w:r>
        <w:t xml:space="preserve"> </w:t>
      </w:r>
      <w:r>
        <w:t xml:space="preserve">(Bellingham and Sparrow 2000)</w:t>
      </w:r>
      <w:r>
        <w:t xml:space="preserve">. It should be mentioned that we studied only adult individuals established decades or centuries ago, meaning that it needs to be assessed whether the trees express resilience at the species level or whether we would find vulnerability if we analyzed seedling regeneration, likewise other Mediterranean species at their xeric limit</w:t>
      </w:r>
      <w:r>
        <w:t xml:space="preserve"> </w:t>
      </w:r>
      <w:r>
        <w:t xml:space="preserve">(Castro and others 2004; Vilà-Cabrera and others 2011; Gea-Izquierdo and others 2015)</w:t>
      </w:r>
      <w:r>
        <w:t xml:space="preserve">.</w:t>
      </w:r>
    </w:p>
    <w:p>
      <w:pPr>
        <w:pStyle w:val="Textodecuerpo"/>
      </w:pPr>
      <w:r>
        <w:t xml:space="preserve">In summary, two main results stand out from this research. First, the high values of resilience observed in our study suggest that</w:t>
      </w:r>
      <w:r>
        <w:t xml:space="preserve"> </w:t>
      </w:r>
      <w:r>
        <w:rPr>
          <w:i/>
        </w:rPr>
        <w:t xml:space="preserve">Q. pyrenaica</w:t>
      </w:r>
      <w:r>
        <w:t xml:space="preserve"> </w:t>
      </w:r>
      <w:r>
        <w:t xml:space="preserve">populations in Sierra Nevada are located in a geographical but not a climatic, ecological rear edge</w:t>
      </w:r>
      <w:r>
        <w:t xml:space="preserve"> </w:t>
      </w:r>
      <w:r>
        <w:t xml:space="preserve">(</w:t>
      </w:r>
      <w:r>
        <w:rPr>
          <w:i/>
        </w:rPr>
        <w:t xml:space="preserve">sensu</w:t>
      </w:r>
      <w:r>
        <w:t xml:space="preserve"> </w:t>
      </w:r>
      <w:r>
        <w:t xml:space="preserve">Martínez-Vilalta 2018; Vilà-Cabrera and others 2019)</w:t>
      </w:r>
      <w:r>
        <w:t xml:space="preserve">.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w:t>
      </w:r>
    </w:p>
    <w:p>
      <w:pPr>
        <w:pStyle w:val="Textodecuerpo"/>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w:t>
      </w:r>
      <w:r>
        <w:t xml:space="preserve"> </w:t>
      </w:r>
      <w:r>
        <w:rPr>
          <w:i/>
        </w:rPr>
        <w:t xml:space="preserve">a priori</w:t>
      </w:r>
      <w:r>
        <w:t xml:space="preserve"> </w:t>
      </w:r>
      <w:r>
        <w:t xml:space="preserve">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 edge) and the ecological (limiting) rear edge of species.</w:t>
      </w:r>
    </w:p>
    <w:p>
      <w:pPr>
        <w:pStyle w:val="Textodecuerpo"/>
      </w:pPr>
      <w:r>
        <w:t xml:space="preserve">Overall, our results show that management history influences tree 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8" w:name="conclusions"/>
      <w:r>
        <w:t xml:space="preserve">Conclusions</w:t>
      </w:r>
      <w:bookmarkEnd w:id="48"/>
    </w:p>
    <w:p>
      <w:pPr>
        <w:pStyle w:val="FirstParagraph"/>
      </w:pPr>
      <w:r>
        <w:t xml:space="preserve">The ecological and geographical read edges did not appear to fully match in our study. Severe drought events provoke major reductions in primary and secondary growth of</w:t>
      </w:r>
      <w:r>
        <w:t xml:space="preserve"> </w:t>
      </w:r>
      <w:r>
        <w:rPr>
          <w:i/>
        </w:rPr>
        <w:t xml:space="preserve">Q. pyrenaica</w:t>
      </w:r>
      <w:r>
        <w:t xml:space="preserve"> </w:t>
      </w:r>
      <w:r>
        <w:t xml:space="preserve">forests in the relict, rear-edge forest studied. However, we found no negative growth trends despite our expectation of vulnerability to climate change for these relict stands. Furthermore, we detected positive trends for primary growth (</w:t>
      </w:r>
      <w:r>
        <w:rPr>
          <w:i/>
        </w:rPr>
        <w:t xml:space="preserve">i.e.</w:t>
      </w:r>
      <w:r>
        <w:t xml:space="preserve"> </w:t>
      </w:r>
      <w:r>
        <w:t xml:space="preserve">greenness) at the ecosystem scale and a steep positive trend of secondary growth at the tree level at the wettest site along the climatic gradient analyzed. The trees exhibited high resilience values in response to drought, particularly in the long-term scale, and resilience was directly related to drought severity. These findings are consistent with other results showing that this mountain region is still acting as a refuge for deciduous species, including</w:t>
      </w:r>
      <w:r>
        <w:t xml:space="preserve"> </w:t>
      </w:r>
      <w:r>
        <w:rPr>
          <w:i/>
        </w:rPr>
        <w:t xml:space="preserve">Quercus</w:t>
      </w:r>
      <w:r>
        <w:t xml:space="preserve">. The differences found in tree growth and resilience to drought between sites close together show that responses to drought were site dependent and can drastically vary even in very narrow spatial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w:t>
      </w:r>
      <w:r>
        <w:t xml:space="preserve"> </w:t>
      </w:r>
      <w:r>
        <w:rPr>
          <w:i/>
        </w:rPr>
        <w:t xml:space="preserve">Q. pyrenaica</w:t>
      </w:r>
      <w:r>
        <w:t xml:space="preserve">, not only for conservation</w:t>
      </w:r>
      <w:r>
        <w:t xml:space="preserve"> </w:t>
      </w:r>
      <w:r>
        <w:rPr>
          <w:i/>
        </w:rPr>
        <w:t xml:space="preserve">per se</w:t>
      </w:r>
      <w:r>
        <w:t xml:space="preserve"> </w:t>
      </w:r>
      <w:r>
        <w:t xml:space="preserve">of the species, but for all ecosystem services that these singular forests offer. As a follow-up to our study, research would be informative to disentangle how forest resistance and resilience might be affected by the combination of climate change and land-use legacies in highly transformed landscapes such as Mediterranean mountain ecosystems.</w:t>
      </w:r>
    </w:p>
    <w:p>
      <w:pPr>
        <w:pStyle w:val="Ttulo2"/>
      </w:pPr>
      <w:bookmarkStart w:id="49" w:name="acknowledgements"/>
      <w:r>
        <w:t xml:space="preserve">Acknowledgements</w:t>
      </w:r>
      <w:bookmarkEnd w:id="49"/>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50" w:name="references"/>
      <w:r>
        <w:t xml:space="preserve">References</w:t>
      </w:r>
      <w:bookmarkEnd w:id="50"/>
    </w:p>
    <w:bookmarkStart w:id="134" w:name="refs"/>
    <w:bookmarkStart w:id="52"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1">
        <w:r>
          <w:rPr>
            <w:rStyle w:val="Hipervnculo"/>
          </w:rPr>
          <w:t xml:space="preserve">https://doi.org/10.1111/jbi.12215</w:t>
        </w:r>
      </w:hyperlink>
    </w:p>
    <w:bookmarkEnd w:id="52"/>
    <w:bookmarkStart w:id="53"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Babst2017"/>
    <w:p>
      <w:pPr>
        <w:pStyle w:val="Bibliografa"/>
      </w:pPr>
      <w:r>
        <w:t xml:space="preserve">Babst F, Poulter B, Bodesheim P, Mahecha M, C Frank D. 2017. Improved tree-ring archives will support earth-system science. Nature Ecology and Evolution 1:1–2.</w:t>
      </w:r>
    </w:p>
    <w:bookmarkEnd w:id="54"/>
    <w:bookmarkStart w:id="55"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5"/>
    <w:bookmarkStart w:id="56" w:name="ref-Bellingham2000"/>
    <w:p>
      <w:pPr>
        <w:pStyle w:val="Bibliografa"/>
      </w:pPr>
      <w:r>
        <w:t xml:space="preserve">Bellingham PJ, Sparrow AD. 2000. Resprouting as a life history strategy in woody plant communities. Oikos 89:409–16.</w:t>
      </w:r>
    </w:p>
    <w:bookmarkEnd w:id="56"/>
    <w:bookmarkStart w:id="57" w:name="ref-Bhuyan2017"/>
    <w:p>
      <w:pPr>
        <w:pStyle w:val="Bibliografa"/>
      </w:pPr>
      <w:r>
        <w:t xml:space="preserve">Bhuyan U, Zang C, Menzel A. 2017. Different responses of multispecies tree ring growth to various drought indices across Europe. Dendrochronologia 44:1–8.</w:t>
      </w:r>
    </w:p>
    <w:bookmarkEnd w:id="57"/>
    <w:bookmarkStart w:id="58" w:name="ref-Biondi2008"/>
    <w:p>
      <w:pPr>
        <w:pStyle w:val="Bibliografa"/>
      </w:pPr>
      <w:r>
        <w:t xml:space="preserve">Biondi F, Qeadan F. 2008. A theory-driven approach to tree-ring standardization: Defining the biological trend from expected basal area increment. Tree-Ring Research 64:81–96.</w:t>
      </w:r>
    </w:p>
    <w:bookmarkEnd w:id="58"/>
    <w:bookmarkStart w:id="59"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59"/>
    <w:bookmarkStart w:id="60" w:name="ref-Bunn2010"/>
    <w:p>
      <w:pPr>
        <w:pStyle w:val="Bibliografa"/>
      </w:pPr>
      <w:r>
        <w:t xml:space="preserve">Bunn AG. 2010. Statistical and visual crossdating in r using the dplR library. Dendrochronologia 28:251–8.</w:t>
      </w:r>
    </w:p>
    <w:bookmarkEnd w:id="60"/>
    <w:bookmarkStart w:id="61"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1"/>
    <w:bookmarkStart w:id="62"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2"/>
    <w:bookmarkStart w:id="63"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3"/>
    <w:bookmarkStart w:id="64"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4"/>
    <w:bookmarkStart w:id="65" w:name="ref-Castro2004"/>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 92:266–77.</w:t>
      </w:r>
    </w:p>
    <w:bookmarkEnd w:id="65"/>
    <w:bookmarkStart w:id="66"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6"/>
    <w:bookmarkStart w:id="67"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7"/>
    <w:bookmarkStart w:id="68"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68"/>
    <w:bookmarkStart w:id="70"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69">
        <w:r>
          <w:rPr>
            <w:rStyle w:val="Hipervnculo"/>
          </w:rPr>
          <w:t xml:space="preserve">https://doi.org/10.1051/forest/2010031</w:t>
        </w:r>
      </w:hyperlink>
    </w:p>
    <w:bookmarkEnd w:id="70"/>
    <w:bookmarkStart w:id="71"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1"/>
    <w:bookmarkStart w:id="7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2"/>
    <w:bookmarkStart w:id="73"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3"/>
    <w:bookmarkStart w:id="74" w:name="ref-Fatichi2014"/>
    <w:p>
      <w:pPr>
        <w:pStyle w:val="Bibliografa"/>
      </w:pPr>
      <w:r>
        <w:t xml:space="preserve">Fatichi S, Leuzinger S, Körner C. 2014. Moving beyond photosynthesis: From carbon source to sink-driven vegetation modeling. New Phytologist 201:1086–95.</w:t>
      </w:r>
    </w:p>
    <w:bookmarkEnd w:id="74"/>
    <w:bookmarkStart w:id="7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5"/>
    <w:bookmarkStart w:id="76" w:name="ref-Fritts1976"/>
    <w:p>
      <w:pPr>
        <w:pStyle w:val="Bibliografa"/>
      </w:pPr>
      <w:r>
        <w:t xml:space="preserve">Fritts HC. 1976. Tree rings and climate. London: Academic Press</w:t>
      </w:r>
    </w:p>
    <w:bookmarkEnd w:id="76"/>
    <w:bookmarkStart w:id="7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7"/>
    <w:bookmarkStart w:id="78"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78"/>
    <w:bookmarkStart w:id="79" w:name="ref-GeaIzquierdo2009"/>
    <w:p>
      <w:pPr>
        <w:pStyle w:val="Bibliografa"/>
      </w:pPr>
      <w:r>
        <w:t xml:space="preserve">Gea-Izquierdo G, Cañellas I. 2009. Analysis of Holm Oak Intraspecific Competition Using Gamma Regression. Forest science 55:310–22.</w:t>
      </w:r>
    </w:p>
    <w:bookmarkEnd w:id="79"/>
    <w:bookmarkStart w:id="80" w:name="ref-GeaIzquierdo2014"/>
    <w:p>
      <w:pPr>
        <w:pStyle w:val="Bibliografa"/>
      </w:pPr>
      <w:r>
        <w:t xml:space="preserve">Gea-Izquierdo G, Cañellas I. 2014. Local climate forces instability in long-term productivity of a Mediterranean oak along climatic gradients. Ecosystems 17:228–41.</w:t>
      </w:r>
    </w:p>
    <w:bookmarkEnd w:id="80"/>
    <w:bookmarkStart w:id="82"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1">
        <w:r>
          <w:rPr>
            <w:rStyle w:val="Hipervnculo"/>
          </w:rPr>
          <w:t xml:space="preserve">https://doi.org/10.1016/j.foreco.2011.07.025</w:t>
        </w:r>
      </w:hyperlink>
    </w:p>
    <w:bookmarkEnd w:id="82"/>
    <w:bookmarkStart w:id="83"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3"/>
    <w:bookmarkStart w:id="84" w:name="ref-GeaIzquierdo2015EJFR"/>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4"/>
    <w:bookmarkStart w:id="85" w:name="ref-Hampe2005"/>
    <w:p>
      <w:pPr>
        <w:pStyle w:val="Bibliografa"/>
      </w:pPr>
      <w:r>
        <w:t xml:space="preserve">Hampe A, Petit RJ. 2005. Conserving biodiversity under climate change: The rear edge matters. Ecology Letters 8:461–7.</w:t>
      </w:r>
    </w:p>
    <w:bookmarkEnd w:id="85"/>
    <w:bookmarkStart w:id="86"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86"/>
    <w:bookmarkStart w:id="87"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7"/>
    <w:bookmarkStart w:id="88" w:name="ref-Herrero2014"/>
    <w:p>
      <w:pPr>
        <w:pStyle w:val="Bibliografa"/>
      </w:pPr>
      <w:r>
        <w:t xml:space="preserve">Herrero A, Zamora R. 2014. Plant responses to extreme climatic events: A field test of resilience capacity at the southern range edge. PLOS ONE 9:e87842.</w:t>
      </w:r>
    </w:p>
    <w:bookmarkEnd w:id="88"/>
    <w:bookmarkStart w:id="89" w:name="ref-Holmes1983"/>
    <w:p>
      <w:pPr>
        <w:pStyle w:val="Bibliografa"/>
      </w:pPr>
      <w:r>
        <w:t xml:space="preserve">Holmes RL. 1983. Computer-assisted quality control in tree-ring dating and measurement. Tree-Ring Bulletin 43:69–78.</w:t>
      </w:r>
    </w:p>
    <w:bookmarkEnd w:id="89"/>
    <w:bookmarkStart w:id="90" w:name="ref-Huang2018"/>
    <w:p>
      <w:pPr>
        <w:pStyle w:val="Bibliografa"/>
      </w:pPr>
      <w:r>
        <w:t xml:space="preserve">Huang M, Wang X, Keenan TF, Piao S. 2018. Drought timing influences the legacy of tree growth recovery. Global Change Biology 24:3546–59.</w:t>
      </w:r>
    </w:p>
    <w:bookmarkEnd w:id="90"/>
    <w:bookmarkStart w:id="91"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1"/>
    <w:bookmarkStart w:id="92" w:name="ref-Jump2010"/>
    <w:p>
      <w:pPr>
        <w:pStyle w:val="Bibliografa"/>
      </w:pPr>
      <w:r>
        <w:t xml:space="preserve">Jump AS, Cavin L, Hunter PD. 2010. Monitoring and managing responses to climate change at the retreating range edge of forest trees. Journal of Environmental Monitoring 12:1791–8.</w:t>
      </w:r>
    </w:p>
    <w:bookmarkEnd w:id="92"/>
    <w:bookmarkStart w:id="93" w:name="ref-Korner2013"/>
    <w:p>
      <w:pPr>
        <w:pStyle w:val="Bibliografa"/>
      </w:pPr>
      <w:r>
        <w:t xml:space="preserve">Körner C. 2013. Growth controls photosynthesis Mostly. Nova Acta Leopoldina 114:273–83.</w:t>
      </w:r>
    </w:p>
    <w:bookmarkEnd w:id="93"/>
    <w:bookmarkStart w:id="94" w:name="ref-Lloret2011"/>
    <w:p>
      <w:pPr>
        <w:pStyle w:val="Bibliografa"/>
      </w:pPr>
      <w:r>
        <w:t xml:space="preserve">Lloret F, Keeling EG, Sala A. 2011. Components of tree resilience: Effects of successive low-growth episodes in old ponderosa pine forests. Oikos 120:1909–20.</w:t>
      </w:r>
    </w:p>
    <w:bookmarkEnd w:id="94"/>
    <w:bookmarkStart w:id="95" w:name="ref-Lloret2004"/>
    <w:p>
      <w:pPr>
        <w:pStyle w:val="Bibliografa"/>
      </w:pPr>
      <w:r>
        <w:t xml:space="preserve">Lloret F, Siscart D, Dalmases C. 2004. Canopy recovery after drought dieback in holm-oak mediterranean forests of catalonia (NE spain). Global Change Biology 10:2092–9.</w:t>
      </w:r>
    </w:p>
    <w:bookmarkEnd w:id="95"/>
    <w:bookmarkStart w:id="96" w:name="ref-Loriteetal2008ABG"/>
    <w:p>
      <w:pPr>
        <w:pStyle w:val="Bibliografa"/>
      </w:pPr>
      <w:r>
        <w:t xml:space="preserve">Lorite J, Salazar C, Peñas J, Valle F. 2008. Phytosociological review on the forests of quercus pyrenaica willd. Acta Botanica Gallica 155:219–33.</w:t>
      </w:r>
    </w:p>
    <w:bookmarkEnd w:id="96"/>
    <w:bookmarkStart w:id="97" w:name="ref-MartinezVilalta2018"/>
    <w:p>
      <w:pPr>
        <w:pStyle w:val="Bibliografa"/>
      </w:pPr>
      <w:r>
        <w:t xml:space="preserve">Martínez-Vilalta J. 2018. The rear window: Structural and functional plasticity in tree responses to climate change inferred from growth rings. Tree Physiology 38:155–8.</w:t>
      </w:r>
    </w:p>
    <w:bookmarkEnd w:id="97"/>
    <w:bookmarkStart w:id="98"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98"/>
    <w:bookmarkStart w:id="99" w:name="ref-Nowacki1997"/>
    <w:p>
      <w:pPr>
        <w:pStyle w:val="Bibliografa"/>
      </w:pPr>
      <w:r>
        <w:t xml:space="preserve">Nowacki GJ, Abrams MD. 1997. Radial-growth averaging criteria for reconstructing disturbance histories from presettlement-origing oaks. Ecological Monographs 67:225–49.</w:t>
      </w:r>
    </w:p>
    <w:bookmarkEnd w:id="99"/>
    <w:bookmarkStart w:id="100" w:name="ref-Olalde2002"/>
    <w:p>
      <w:pPr>
        <w:pStyle w:val="Bibliografa"/>
      </w:pPr>
      <w:r>
        <w:t xml:space="preserve">Olalde M, Herrán A, Espinel S, Goicoechea PG. 2002. White oaks phylogeography in the Iberian Peninsula. Forest Ecology and Management 156:89–102.</w:t>
      </w:r>
    </w:p>
    <w:bookmarkEnd w:id="100"/>
    <w:bookmarkStart w:id="101" w:name="ref-Pascoa2017"/>
    <w:p>
      <w:pPr>
        <w:pStyle w:val="Bibliografa"/>
      </w:pPr>
      <w:r>
        <w:t xml:space="preserve">Páscoa P, Gouveia C, Russo A, Trigo R. 2017. Drought trends in the Iberian Peninsula over the last 112 years. Advances in Meteorology:ID4653126.</w:t>
      </w:r>
    </w:p>
    <w:bookmarkEnd w:id="101"/>
    <w:bookmarkStart w:id="102"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2"/>
    <w:bookmarkStart w:id="103" w:name="ref-Penuelas2001"/>
    <w:p>
      <w:pPr>
        <w:pStyle w:val="Bibliografa"/>
      </w:pPr>
      <w:r>
        <w:t xml:space="preserve">Peñuelas J, Lloret F, Montoya R. 2001. Severe drought effects on mediterranean woody flora in spain. Forest Science 47:214–8.</w:t>
      </w:r>
    </w:p>
    <w:bookmarkEnd w:id="103"/>
    <w:bookmarkStart w:id="104"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04"/>
    <w:bookmarkStart w:id="105"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05"/>
    <w:bookmarkStart w:id="106"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06"/>
    <w:bookmarkStart w:id="108"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07">
        <w:r>
          <w:rPr>
            <w:rStyle w:val="Hipervnculo"/>
          </w:rPr>
          <w:t xml:space="preserve">https://doi.org/10.1111/brv.12313</w:t>
        </w:r>
      </w:hyperlink>
    </w:p>
    <w:bookmarkEnd w:id="108"/>
    <w:bookmarkStart w:id="109"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09"/>
    <w:bookmarkStart w:id="110"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0"/>
    <w:bookmarkStart w:id="111" w:name="ref-Rubino2004"/>
    <w:p>
      <w:pPr>
        <w:pStyle w:val="Bibliografa"/>
      </w:pPr>
      <w:r>
        <w:t xml:space="preserve">Rubino DL, McCarthy BC. 2004. Comparative analysis of dendroecological methods used to assess disturbance events. Dendrochronologia 21:97–115.</w:t>
      </w:r>
    </w:p>
    <w:bookmarkEnd w:id="111"/>
    <w:bookmarkStart w:id="113" w:name="ref-Sagarin2002"/>
    <w:p>
      <w:pPr>
        <w:pStyle w:val="Bibliografa"/>
      </w:pPr>
      <w:r>
        <w:t xml:space="preserve">Sagarin RD, Gaines SD. 2002. The abundant centre distribution: To what extent is it a biogeographical rule? Ecology Letters 5:137–47.</w:t>
      </w:r>
      <w:r>
        <w:t xml:space="preserve"> </w:t>
      </w:r>
      <w:hyperlink r:id="rId112">
        <w:r>
          <w:rPr>
            <w:rStyle w:val="Hipervnculo"/>
          </w:rPr>
          <w:t xml:space="preserve">https://doi.org/10.1046/j.1461-0248.2002.00297.x</w:t>
        </w:r>
      </w:hyperlink>
    </w:p>
    <w:bookmarkEnd w:id="113"/>
    <w:bookmarkStart w:id="114"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4"/>
    <w:bookmarkStart w:id="115"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5"/>
    <w:bookmarkStart w:id="116"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6"/>
    <w:bookmarkStart w:id="117" w:name="ref-Sexton2009"/>
    <w:p>
      <w:pPr>
        <w:pStyle w:val="Bibliografa"/>
      </w:pPr>
      <w:r>
        <w:t xml:space="preserve">Sexton JP, McIntyre PJ, Angert AL, Rice KJ. 2009. Evolution and ecology of species range limits. Annual Review of Ecology, Evolution, and Systematics 40:415–36.</w:t>
      </w:r>
    </w:p>
    <w:bookmarkEnd w:id="117"/>
    <w:bookmarkStart w:id="118" w:name="ref-Spinoni2015"/>
    <w:p>
      <w:pPr>
        <w:pStyle w:val="Bibliografa"/>
      </w:pPr>
      <w:r>
        <w:t xml:space="preserve">Spinoni J, Naumann G, Vogt J, Barbosa P. 2015. European drought climatologies and trends based on a multi-indicator approach. Global and Planetary Change 127:50–7.</w:t>
      </w:r>
    </w:p>
    <w:bookmarkEnd w:id="118"/>
    <w:bookmarkStart w:id="119" w:name="ref-Spinoni2017a"/>
    <w:p>
      <w:pPr>
        <w:pStyle w:val="Bibliografa"/>
      </w:pPr>
      <w:r>
        <w:t xml:space="preserve">Spinoni J, Vogt JV, Naumann G, Barbosa P, Dosio A. 2017. Will drought events become more frequent and severe in Europe? International Journal of Climatology.</w:t>
      </w:r>
    </w:p>
    <w:bookmarkEnd w:id="119"/>
    <w:bookmarkStart w:id="120" w:name="ref-Stagge2017"/>
    <w:p>
      <w:pPr>
        <w:pStyle w:val="Bibliografa"/>
      </w:pPr>
      <w:r>
        <w:t xml:space="preserve">Stagge JH, Kingston DG, Tallaksen LM, Hannah DM. 2017. Observed drought indices show increasing divergence across Europe. Scientific Reports 7:14045.</w:t>
      </w:r>
    </w:p>
    <w:bookmarkEnd w:id="120"/>
    <w:bookmarkStart w:id="121" w:name="ref-Tessieretal1994DeciduousQuercus"/>
    <w:p>
      <w:pPr>
        <w:pStyle w:val="Bibliografa"/>
      </w:pPr>
      <w:r>
        <w:t xml:space="preserve">Tessier L, Nola P, Serre-Bachet F. 1994. Deciduous quercus in the mediterranean region: Tree-ring/climate relationships. The New Phytologist 126:355–67.</w:t>
      </w:r>
    </w:p>
    <w:bookmarkEnd w:id="121"/>
    <w:bookmarkStart w:id="122"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2"/>
    <w:bookmarkStart w:id="123"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3"/>
    <w:bookmarkStart w:id="124"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4"/>
    <w:bookmarkStart w:id="125"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5"/>
    <w:bookmarkStart w:id="126"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6"/>
    <w:bookmarkStart w:id="127"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7"/>
    <w:bookmarkStart w:id="128"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28"/>
    <w:bookmarkStart w:id="129" w:name="ref-VilaCabrera2011"/>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29"/>
    <w:bookmarkStart w:id="130" w:name="ref-VilaCabrera2019"/>
    <w:p>
      <w:pPr>
        <w:pStyle w:val="Bibliografa"/>
      </w:pPr>
      <w:r>
        <w:t xml:space="preserve">Vilà-Cabrera A, Premoli AC, Jump AS. 2019. Refining predictions of population decline at species’ rear edges. Global Change Biology 25:1549–60.</w:t>
      </w:r>
    </w:p>
    <w:bookmarkEnd w:id="130"/>
    <w:bookmarkStart w:id="131" w:name="ref-Wilcox2012"/>
    <w:p>
      <w:pPr>
        <w:pStyle w:val="Bibliografa"/>
      </w:pPr>
      <w:r>
        <w:t xml:space="preserve">Wilcox R. 2012. Introduction to robust estimation and hypothesis testing (third edition). Third Edition. Academic Press</w:t>
      </w:r>
    </w:p>
    <w:bookmarkEnd w:id="131"/>
    <w:bookmarkStart w:id="132" w:name="ref-Zang2015"/>
    <w:p>
      <w:pPr>
        <w:pStyle w:val="Bibliografa"/>
      </w:pPr>
      <w:r>
        <w:t xml:space="preserve">Zang C, Biondi F. 2015. Treeclim: An r package for the numerical calibration of proxy-climate relationships. Ecography 38:431–6.</w:t>
      </w:r>
    </w:p>
    <w:bookmarkEnd w:id="132"/>
    <w:bookmarkStart w:id="133"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3"/>
    <w:bookmarkEnd w:id="134"/>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2"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7"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2"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7"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high oak resilience to drought show how the ecological and geographical rear edges do not necessarily meet today</dc:title>
  <dc:creator/>
  <cp:keywords/>
  <dcterms:created xsi:type="dcterms:W3CDTF">2019-12-10T15:23:26Z</dcterms:created>
  <dcterms:modified xsi:type="dcterms:W3CDTF">2019-12-10T15:23:26Z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