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section"/>
      <w:bookmarkEnd w:id="20"/>
    </w:p>
    <w:p>
      <w:pPr>
        <w:pStyle w:val="FirstParagraph"/>
      </w:pPr>
      <w:r>
        <w:rPr>
          <w:b/>
        </w:rPr>
        <w:t xml:space="preserve">Figure 3.</w:t>
      </w:r>
      <w:r>
        <w:t xml:space="preserve"> </w:t>
      </w:r>
      <w:r>
        <w:t xml:space="preserve">Percentage of pixels showing browning, greenning or no-changes during the 2005 and 2012 drought events according to EVI standardized anomalies.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rowning_files/figure-docx/out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2018-11-23T14:40:24Z</dcterms:created>
  <dcterms:modified xsi:type="dcterms:W3CDTF">2018-11-23T14:40:24Z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