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populations</w:t>
      </w:r>
      <w:r>
        <w:t xml:space="preserve"> </w:t>
      </w:r>
      <w:r>
        <w:t xml:space="preserve">of</w:t>
      </w:r>
      <w:r>
        <w:t xml:space="preserve"> </w:t>
      </w:r>
      <w:r>
        <w:t xml:space="preserve">a</w:t>
      </w:r>
      <w:r>
        <w:t xml:space="preserve"> </w:t>
      </w:r>
      <w:r>
        <w:t xml:space="preserve">deciduous</w:t>
      </w:r>
      <w:r>
        <w:t xml:space="preserve"> </w:t>
      </w:r>
      <w:r>
        <w:t xml:space="preserve">oak</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w:t>
      </w:r>
    </w:p>
    <w:p>
      <w:pPr>
        <w:pStyle w:val="Ttulo1"/>
      </w:pPr>
      <w:bookmarkStart w:id="21" w:name="abstract"/>
      <w:bookmarkEnd w:id="21"/>
      <w:r>
        <w:t xml:space="preserve">Abstract</w:t>
      </w:r>
    </w:p>
    <w:p>
      <w:pPr>
        <w:numPr>
          <w:numId w:val="1001"/>
          <w:ilvl w:val="0"/>
        </w:numPr>
      </w:pPr>
      <w:r>
        <w:t xml:space="preserve">Trees showed resilience to drought events, despite the</w:t>
      </w:r>
      <w:r>
        <w:t xml:space="preserve"> </w:t>
      </w:r>
      <w:r>
        <w:t xml:space="preserve">‘</w:t>
      </w:r>
      <w:r>
        <w:t xml:space="preserve">a priori</w:t>
      </w:r>
      <w:r>
        <w:t xml:space="preserve">’</w:t>
      </w:r>
      <w:r>
        <w:t xml:space="preserve"> </w:t>
      </w:r>
      <w:r>
        <w:t xml:space="preserve">vulnerability that they can express as a result of the impact of climate change on relict stands resulting from intensive land-use in history.</w:t>
      </w:r>
    </w:p>
    <w:p>
      <w:pPr>
        <w:numPr>
          <w:numId w:val="1001"/>
          <w:ilvl w:val="0"/>
        </w:numPr>
      </w:pPr>
      <w:r>
        <w:t xml:space="preserve">Oak resilience to drought followed a dryness gradient: Northern populations, which thrive under a drier climate, were less resilient to drought both in primary and secondary growth than Southern populations where lower altitudes were also less resilient than those at high-altitudes.</w:t>
      </w:r>
    </w:p>
    <w:p>
      <w:pPr>
        <w:pStyle w:val="Ttulo1"/>
      </w:pPr>
      <w:bookmarkStart w:id="22" w:name="introduction"/>
      <w:bookmarkEnd w:id="22"/>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3" w:name="materials-and-methods"/>
      <w:bookmarkEnd w:id="23"/>
      <w:r>
        <w:t xml:space="preserve">Materials and methods</w:t>
      </w:r>
    </w:p>
    <w:p>
      <w:pPr>
        <w:pStyle w:val="Ttulo2"/>
      </w:pPr>
      <w:bookmarkStart w:id="24" w:name="species-and-study-site"/>
      <w:bookmarkEnd w:id="24"/>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5" w:name="drought-episodes"/>
      <w:bookmarkEnd w:id="25"/>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6" w:name="greenness-data"/>
      <w:bookmarkEnd w:id="26"/>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bookmarkEnd w:id="27"/>
      <w:r>
        <w:t xml:space="preserve">Field sampling and dendrochronological methods</w:t>
      </w:r>
    </w:p>
    <w:p>
      <w:pPr>
        <w:pStyle w:val="Ttulo3"/>
      </w:pPr>
      <w:bookmarkStart w:id="28" w:name="tree-sampling"/>
      <w:bookmarkEnd w:id="28"/>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bookmarkEnd w:id="29"/>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bookmarkEnd w:id="30"/>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bookmarkEnd w:id="33"/>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4" w:name="resilience"/>
      <w:bookmarkEnd w:id="34"/>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5" w:name="statistical-analysis"/>
      <w:bookmarkEnd w:id="35"/>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6" w:name="results"/>
      <w:bookmarkEnd w:id="36"/>
      <w:r>
        <w:t xml:space="preserve">Results</w:t>
      </w:r>
    </w:p>
    <w:p>
      <w:pPr>
        <w:pStyle w:val="Ttulo2"/>
      </w:pPr>
      <w:bookmarkStart w:id="37" w:name="time-trends-in-vegetation-greenness"/>
      <w:bookmarkEnd w:id="37"/>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8" w:name="radial-growth-trends"/>
      <w:bookmarkEnd w:id="38"/>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9" w:name="resilience-of-greenness-and-radial-tree-growth-to-drought-events"/>
      <w:bookmarkEnd w:id="39"/>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S5).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40" w:name="climate-and-tree-growth"/>
      <w:bookmarkEnd w:id="40"/>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1" w:name="forest-disturbances"/>
      <w:bookmarkEnd w:id="41"/>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2" w:name="discussion"/>
      <w:bookmarkEnd w:id="42"/>
      <w:r>
        <w:t xml:space="preserve">Discussion</w:t>
      </w:r>
    </w:p>
    <w:p>
      <w:pPr>
        <w:pStyle w:val="Ttulo2"/>
      </w:pPr>
      <w:bookmarkStart w:id="43" w:name="impacts-of-severe-droughts-on-rear-edge-populations"/>
      <w:bookmarkEnd w:id="43"/>
      <w:r>
        <w:t xml:space="preserve">Impacts of severe droughts on rear-edge populations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tulo2"/>
      </w:pPr>
      <w:bookmarkStart w:id="44" w:name="oaks-show-high-resilience-in-response-to-recent-drought-events"/>
      <w:bookmarkEnd w:id="44"/>
      <w:r>
        <w:t xml:space="preserve">Oaks show high resilience in response to recent drought events</w:t>
      </w:r>
    </w:p>
    <w:p>
      <w:pPr>
        <w:pStyle w:val="FirstParagraph"/>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results agree with those obtained by previous works using other remote-sensing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 In addition, a similar positive trend in BAI for the last years, has been reported for another</w:t>
      </w:r>
      <w:r>
        <w:t xml:space="preserve"> </w:t>
      </w:r>
      <w:r>
        <w:rPr>
          <w:i/>
        </w:rPr>
        <w:t xml:space="preserve">Q. pyrenaica</w:t>
      </w:r>
      <w:r>
        <w:t xml:space="preserve"> </w:t>
      </w:r>
      <w:r>
        <w:t xml:space="preserve">population of the Sierra Nevada</w:t>
      </w:r>
      <w:r>
        <w:t xml:space="preserve"> </w:t>
      </w:r>
      <w:r>
        <w:t xml:space="preserve">(Rubio-Cuadrado et al. 2018)</w:t>
      </w:r>
      <w:r>
        <w:t xml:space="preserve">.</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(long-term perspective), observamos como estas poblaciones presentan altos valores de resiliencia. Como muestran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5" w:name="site-environment-shapes-differential-sensitivity-to-climate-and-drought-of-rear-edge-oak-populations"/>
      <w:bookmarkEnd w:id="45"/>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6),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6" w:name="land-use-legacy-effects-shape-distribution-and-sensitivity-to-climate-change-of-read-edge-oak-populations"/>
      <w:bookmarkEnd w:id="46"/>
      <w:r>
        <w:t xml:space="preserve">Land-use legacy effects shape distribution and sensitivity to climate change of read-edge oak populations</w:t>
      </w:r>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7" w:name="references"/>
      <w:bookmarkEnd w:id="47"/>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Catastro. 1752.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Eilmann, B., and A. Rigling. 2012. Tree-growth analyses to estimate tree species’ drought tolerance. Tree Physiology 32:178–187.</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A., A. Rigling, and R. Zamora. 2013. Varying climate sensitivity at the dry distribution edge of pinus sylvestris and p. nigra. Forest Ecology and Management 308:50–61.</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Jiménez-Olivencia, Y., L. Porcel, and A. Caballero. 2015. Medio siglo en la evolución de los paisajes naturales y agrarios de sierra nevada (españa). Boletín de la Asociación de Geógrafos Españoles 68:205–232.</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Maestre, A. 1858. Memoria sobre los criaderos de biubmineral de sierra nevada en el término municipal de güejar-sierra, provincia de granada. Boletín del Ministerio de Fomento XXVIII:371–377.</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2011. Análisis multivariante ambiental de los melojares de</w:t>
      </w:r>
      <w:r>
        <w:t xml:space="preserve"> </w:t>
      </w:r>
      <w:r>
        <w:rPr>
          <w:i/>
        </w:rPr>
        <w:t xml:space="preserve">Quercus pyrenaica</w:t>
      </w:r>
      <w:r>
        <w:t xml:space="preserve"> </w:t>
      </w:r>
      <w:r>
        <w:t xml:space="preserve">Willd. de Sierra Nevada. Master’s thesis, Universidad de Granada; Universidad de Granada, Granada.</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2009.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and C. Azorin‐Molina. 2014a. Diverse responses of forest growth to drought time‐scales in the northern hemisphere. Global Ecology and Biogeography 23:1019–1030.</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aea7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3bf1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monitordesequia.csic.es/"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populations of a deciduous oak show high resilience to drought despite land-use legacies</dc:title>
  <dc:creator>AJ Perez-Luque; G. Gea-Izquierdo; …</dc:creator>
  <dcterms:created xsi:type="dcterms:W3CDTF">2018-10-16T12:25:13Z</dcterms:created>
  <dcterms:modified xsi:type="dcterms:W3CDTF">2018-10-16T12:25:13Z</dcterms:modified>
</cp:coreProperties>
</file>