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 Q. pyrenaica 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S7).</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rear-edge-oaks-show-high-resilience-in-response-both-to-recent-drought-events-and-long-term-climatic-variability."/>
      <w:r>
        <w:t xml:space="preserve">Rear-edge oaks show high resilience in response both to recent drought events and long-term climatic variability.</w:t>
      </w:r>
      <w:bookmarkEnd w:id="41"/>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The greatest reduction of tree-growth was observed during the 1995 drought, a characteristic pointer-year that caused severe and extensive damage to the Mediterranean vegetation across Iberian Peninsula</w:t>
      </w:r>
      <w:r>
        <w:t xml:space="preserve"> </w:t>
      </w:r>
      <w:r>
        <w:t xml:space="preserve">(Peñuelas et al. 2001, Camarero et al. 2018, Gazol et al. 2018)</w:t>
      </w:r>
      <w:r>
        <w:t xml:space="preserve">.</w:t>
      </w:r>
    </w:p>
    <w:p>
      <w:pPr>
        <w:pStyle w:val="Textodecuerpo"/>
      </w:pPr>
      <w:r>
        <w:t xml:space="preserve">During the last decades, the south of Iberian Peninsula suffered two of the worst recorded drought</w:t>
      </w:r>
      <w:r>
        <w:t xml:space="preserve"> </w:t>
      </w:r>
      <w:r>
        <w:t xml:space="preserve">(2005 and 2012; García-Herrera et al. 2007, Trigo et al. 2013, Vicente-Serrano et al. 2014b)</w:t>
      </w:r>
      <w:r>
        <w:t xml:space="preserve"> </w:t>
      </w:r>
      <w:r>
        <w:t xml:space="preserve">(Table S3). However,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Our pattern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above, we found strong declines of tree-growth during the most severe drought events occurred (1995 and 1999) (Table S3; Figure S3). This pattern was also observed for several</w:t>
      </w:r>
      <w:r>
        <w:t xml:space="preserve"> </w:t>
      </w:r>
      <w:r>
        <w:rPr>
          <w:i/>
        </w:rPr>
        <w:t xml:space="preserve">Pinus</w:t>
      </w:r>
      <w:r>
        <w:t xml:space="preserve"> </w:t>
      </w:r>
      <w:r>
        <w:t xml:space="preserve">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contradicts our initial hypothesis in which we predict low resilience values for this oak species in their rear-edge.</w:t>
      </w:r>
    </w:p>
    <w:p>
      <w:pPr>
        <w:pStyle w:val="Textodecuerpo"/>
      </w:pPr>
      <w:r>
        <w:t xml:space="preserve">Several considerations have to be taken into account to explain this result. First of all we need to explore the cumulative precipitation of the previous and posterior years of these drought events. For instance,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(Manuel 2009)</w:t>
      </w:r>
      <w:r>
        <w:t xml:space="preserve">. In addition, this argument could also explain the higher values of recovery found for 1995 (Figure 6).</w:t>
      </w:r>
    </w:p>
    <w:p>
      <w:pPr>
        <w:pStyle w:val="Textodecuerpo"/>
      </w:pPr>
      <w:r>
        <w:t xml:space="preserve">–&gt; Ver y resumir páginas 18-19 Notas Naturkunde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pPr>
        <w:pStyle w:val="Textodecuerpo"/>
      </w:pPr>
      <w:r>
        <w:t xml:space="preserve">–&gt; Aquí iría la idea de lo de refugio</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2" w:name="site-environment-shapes-differential-sensitivity-to-climate-and-drought-of-rear-edge-oak-populations"/>
      <w:r>
        <w:t xml:space="preserve">Site environment shapes differential sensitivity to climate and drought of rear-edge oak populations</w:t>
      </w:r>
      <w:bookmarkEnd w:id="42"/>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3" w:name="land-use-legacy-effects-shape-distribution-and-sensitivity-to-climate-change-of-read-edge-oak-populations"/>
      <w:r>
        <w:t xml:space="preserve">Land-use legacy effects shape distribution and sensitivity to climate change of read-edge oak populations</w:t>
      </w:r>
      <w:bookmarkEnd w:id="43"/>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n.d.)</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w:t>
      </w:r>
      <w:r>
        <w:t xml:space="preserve"> </w:t>
      </w:r>
      <w:r>
        <w:t xml:space="preserve">@MesaFernandez2018</w:t>
      </w:r>
      <w:r>
        <w:t xml:space="preserve">)</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w:t>
      </w:r>
      <w:r>
        <w:rPr>
          <w:b/>
        </w:rPr>
        <w:t xml:space="preserve">???</w:t>
      </w:r>
      <w:r>
        <w:t xml:space="preserve">)</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Our study sites had different land-use trajectories driven by the differential pattern of the natural resource use</w:t>
      </w:r>
      <w:r>
        <w:t xml:space="preserve"> </w:t>
      </w:r>
      <w:r>
        <w:t xml:space="preserve">(Martín-Civantos 2014, Jiménez-Olivencia et al. 2015)</w:t>
      </w:r>
      <w:r>
        <w:t xml:space="preserve">.</w:t>
      </w:r>
    </w:p>
    <w:p>
      <w:pPr>
        <w:pStyle w:val="Textodecuerpo"/>
      </w:pPr>
      <w:r>
        <w:t xml:space="preserve">In Northern sites (</w:t>
      </w:r>
      <w:r>
        <w:rPr>
          <w:i/>
        </w:rPr>
        <w:t xml:space="preserve">e.g.</w:t>
      </w:r>
      <w:r>
        <w:t xml:space="preserve"> </w:t>
      </w:r>
      <w:r>
        <w:t xml:space="preserve">San Juan), there is a sequentially distribution of the land uses along the elevational gradient [CITA CATALOGO]. Grasslands and shrublands for cattle farming are located at high elevations. Then forests formation with some croplands; and then, at lowlands, irrigated terraces with tree crops. Another activities could conditioning the natural resources uses. For instance, San Juan oak woodland is located in an area with a high concentration of mines and quarries that have been exploited intermittently throughout history (citas), with two periods of intense activity, the second half of the 19th century after the publication of detailed mineralogical reports by</w:t>
      </w:r>
      <w:r>
        <w:t xml:space="preserve"> </w:t>
      </w:r>
      <w:r>
        <w:t xml:space="preserve">(</w:t>
      </w:r>
      <w:r>
        <w:rPr>
          <w:b/>
        </w:rPr>
        <w:t xml:space="preserve">???</w:t>
      </w:r>
      <w:r>
        <w:t xml:space="preserve">)</w:t>
      </w:r>
      <w:r>
        <w:t xml:space="preserve">; and during the first decades of the twentieth century until 1960, which is the last year in which there is evidence of the existence of mining activity [cita]. The mining activity in San Juan site have strongly conditioned the forest structure.</w:t>
      </w:r>
    </w:p>
    <w:p>
      <w:pPr>
        <w:pStyle w:val="Textodecuerpo"/>
      </w:pPr>
      <w:r>
        <w:t xml:space="preserve">On the other hand, woodland areas of the southern slopes (</w:t>
      </w:r>
      <w:r>
        <w:rPr>
          <w:i/>
        </w:rPr>
        <w:t xml:space="preserve">e.g.</w:t>
      </w:r>
      <w:r>
        <w:t xml:space="preserve"> </w:t>
      </w:r>
      <w:r>
        <w:t xml:space="preserve">Cáñar) are mixed with a greater percentage of croplands, even reached high elevation (mainly barley, rye and potatoes)</w:t>
      </w:r>
      <w:r>
        <w:t xml:space="preserve">(Calatrava and Sayadi 2019)</w:t>
      </w:r>
      <w:r>
        <w:t xml:space="preserve">. Forest resources (firewood, charcoal, acorns) were used in a continuously way, as some historical sources have pointed out</w:t>
      </w:r>
      <w:r>
        <w:t xml:space="preserve"> </w:t>
      </w:r>
      <w:r>
        <w:t xml:space="preserve">(</w:t>
      </w:r>
      <w:r>
        <w:rPr>
          <w:b/>
        </w:rPr>
        <w:t xml:space="preserve">???</w:t>
      </w:r>
      <w:r>
        <w:t xml:space="preserve">,</w:t>
      </w:r>
      <w:r>
        <w:t xml:space="preserve"> </w:t>
      </w:r>
      <w:r>
        <w:t xml:space="preserve">@JimenezSerrano2004</w:t>
      </w:r>
      <w:r>
        <w:t xml:space="preserve">)</w:t>
      </w:r>
      <w:r>
        <w:t xml:space="preserve">. In fact, in Cáñar there were an arraigated tradition of charcoal extraction since fifteenth century</w:t>
      </w:r>
      <w:r>
        <w:t xml:space="preserve"> </w:t>
      </w:r>
      <w:r>
        <w:t xml:space="preserve">(Jiménez-Serrano and Serrano-Gutiérrez 2004)</w:t>
      </w:r>
      <w:r>
        <w:t xml:space="preserve"> </w:t>
      </w:r>
      <w:r>
        <w:t xml:space="preserve">to late twenty century</w:t>
      </w:r>
      <w:r>
        <w:t xml:space="preserve"> </w:t>
      </w:r>
      <w:r>
        <w:t xml:space="preserve">(Manuel 2009, Bonet et al. 2014)</w:t>
      </w:r>
      <w:r>
        <w:t xml:space="preserve">.</w:t>
      </w:r>
    </w:p>
    <w:p>
      <w:pPr>
        <w:pStyle w:val="Textodecuerpo"/>
      </w:pPr>
      <w:r>
        <w:t xml:space="preserve">The different patterns of resource uses can help to understand the tree-growth changes recorded in our chronologies (Figure 5). We observed a tree-growth release event around 1940 in the SJ oak woodland (Figures 5, S4) which concurs with one period of mining activity for this area. Several documentary sources indicate an apogee of the mining activity during 1925 to 1957 period, supported by both the improvement of the paths to transport the mineral and by the creation of new railway connections (CITA). During this period there were an increase on the use of timbers for the tunnels of the mines (CITE) and several furnaces that required great quantities of fuelwood to melt the mineral were active in this area (cite).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release event observed for SJ site during 1995-2000 was lower than the occurred at 1940, but affecting more trees (Figures 5, S4). The revision of forests practices carried out in this area in the last 30 years did not reveal any clearing or cutting event for those years.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the strong positive correlations of SPEI with tree-growth obtained for this site (Figure 8) indicates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2"/>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2"/>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2"/>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2"/>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2"/>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4" w:name="references"/>
      <w:r>
        <w:t xml:space="preserve">References</w:t>
      </w:r>
      <w:bookmarkEnd w:id="44"/>
    </w:p>
    <w:bookmarkStart w:id="211" w:name="refs"/>
    <w:bookmarkStart w:id="45"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5"/>
    <w:bookmarkStart w:id="46"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6"/>
    <w:bookmarkStart w:id="47"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7"/>
    <w:bookmarkStart w:id="48"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8"/>
    <w:bookmarkStart w:id="49"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49"/>
    <w:bookmarkStart w:id="50"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0"/>
    <w:bookmarkStart w:id="51"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1"/>
    <w:bookmarkStart w:id="52"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2"/>
    <w:bookmarkStart w:id="53" w:name="ref-Bhuyan2017"/>
    <w:p>
      <w:pPr>
        <w:pStyle w:val="Bibliografa"/>
      </w:pPr>
      <w:r>
        <w:t xml:space="preserve">Bhuyan, U., C. Zang, and A. Menzel. 2017a. Different responses of multispecies tree ring growth to various drought indices across Europe. Dendrochronologia 44:1–8.</w:t>
      </w:r>
    </w:p>
    <w:bookmarkEnd w:id="53"/>
    <w:bookmarkStart w:id="54"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4"/>
    <w:bookmarkStart w:id="55" w:name="ref-Biondi2008"/>
    <w:p>
      <w:pPr>
        <w:pStyle w:val="Bibliografa"/>
      </w:pPr>
      <w:r>
        <w:t xml:space="preserve">Biondi, F., and F. Qeadan. 2008. A theory-driven approach to tree-ring standardization: Defining the biological trend from expected basal area increment. Tree-Ring Research 64:81–96.</w:t>
      </w:r>
    </w:p>
    <w:bookmarkEnd w:id="55"/>
    <w:bookmarkStart w:id="56"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6"/>
    <w:bookmarkStart w:id="57"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7"/>
    <w:bookmarkStart w:id="58" w:name="ref-Brewer2002"/>
    <w:p>
      <w:pPr>
        <w:pStyle w:val="Bibliografa"/>
      </w:pPr>
      <w:r>
        <w:t xml:space="preserve">Brewer, S., R. Cheddadi, J. de Beaulieu, and M. Reille. 2002. The spread of deciduous Quercus throughout Europe since the last glacial period. Forest Ecology and Management 156:27–48.</w:t>
      </w:r>
    </w:p>
    <w:bookmarkEnd w:id="58"/>
    <w:bookmarkStart w:id="59" w:name="ref-Bunn2008"/>
    <w:p>
      <w:pPr>
        <w:pStyle w:val="Bibliografa"/>
      </w:pPr>
      <w:r>
        <w:t xml:space="preserve">Bunn, A. G. 2008. A dendrochronology program library in r (dplR). Dendrochronologia 26:115–124.</w:t>
      </w:r>
    </w:p>
    <w:bookmarkEnd w:id="59"/>
    <w:bookmarkStart w:id="60" w:name="ref-Bunn2010"/>
    <w:p>
      <w:pPr>
        <w:pStyle w:val="Bibliografa"/>
      </w:pPr>
      <w:r>
        <w:t xml:space="preserve">Bunn, A. G. 2010. Statistical and visual crossdating in r using the dplR library. Dendrochronologia 28:251–258.</w:t>
      </w:r>
    </w:p>
    <w:bookmarkEnd w:id="60"/>
    <w:bookmarkStart w:id="61" w:name="ref-Calatrava2019"/>
    <w:p>
      <w:pPr>
        <w:pStyle w:val="Bibliografa"/>
      </w:pPr>
      <w:r>
        <w:t xml:space="preserve">Calatrava, J., and S. Sayadi. 2019. Evolution of farming systems in the mediterranean high mountain: The case of the alpujarra alta (spain). Sustainability 11:704.</w:t>
      </w:r>
    </w:p>
    <w:bookmarkEnd w:id="61"/>
    <w:bookmarkStart w:id="62"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2"/>
    <w:bookmarkStart w:id="63"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3"/>
    <w:bookmarkStart w:id="64"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4"/>
    <w:bookmarkStart w:id="65"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5"/>
    <w:bookmarkStart w:id="66"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6"/>
    <w:bookmarkStart w:id="67"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7"/>
    <w:bookmarkStart w:id="68"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8"/>
    <w:bookmarkStart w:id="69" w:name="ref-Catastro1752"/>
    <w:p>
      <w:pPr>
        <w:pStyle w:val="Bibliografa"/>
      </w:pPr>
      <w:r>
        <w:t xml:space="preserve">Catastro. 1752. Respuestas Generales del Catastro del Marqués de la Ensenada. Ministerio de Cultura. PARES (Portal de Archivos Españoles), Ministerio de Cultura, Madrid.</w:t>
      </w:r>
    </w:p>
    <w:bookmarkEnd w:id="69"/>
    <w:bookmarkStart w:id="70"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0"/>
    <w:bookmarkStart w:id="71"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1"/>
    <w:bookmarkStart w:id="72" w:name="ref-Clavero2011"/>
    <w:p>
      <w:pPr>
        <w:pStyle w:val="Bibliografa"/>
      </w:pPr>
      <w:r>
        <w:t xml:space="preserve">Clavero, M., D. Villero, and L. Brotons. 2011. Climate change or land use dynamics: Do we know what climate change indicators indicate? PLOS ONE 6:1–8.</w:t>
      </w:r>
    </w:p>
    <w:bookmarkEnd w:id="72"/>
    <w:bookmarkStart w:id="73"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3"/>
    <w:bookmarkStart w:id="74"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4"/>
    <w:bookmarkStart w:id="75" w:name="ref-Cook1990"/>
    <w:p>
      <w:pPr>
        <w:pStyle w:val="Bibliografa"/>
      </w:pPr>
      <w:r>
        <w:t xml:space="preserve">Cook, E., and L. Kairukstis. 1990. Methods of dendrochronology: Applications in the environmental sciences. Springer, Doredrecht.</w:t>
      </w:r>
    </w:p>
    <w:bookmarkEnd w:id="75"/>
    <w:bookmarkStart w:id="76"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6"/>
    <w:bookmarkStart w:id="77"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7"/>
    <w:bookmarkStart w:id="78" w:name="ref-Dai2011"/>
    <w:p>
      <w:pPr>
        <w:pStyle w:val="Bibliografa"/>
      </w:pPr>
      <w:r>
        <w:t xml:space="preserve">Dai, A. 2011. Drought under global warming: A review. Wiley Interdisciplinary Reviews: Climate Change 2:45–65.</w:t>
      </w:r>
    </w:p>
    <w:bookmarkEnd w:id="78"/>
    <w:bookmarkStart w:id="79" w:name="ref-Didan2015"/>
    <w:p>
      <w:pPr>
        <w:pStyle w:val="Bibliografa"/>
      </w:pPr>
      <w:r>
        <w:t xml:space="preserve">Didan, K. 2015. MOD13Q1 MODIS/Terra Vegetation Indices 16-Day L3 Global 250m SIN Grid V006. NASA EOSDIS Land Processes DAAC.</w:t>
      </w:r>
    </w:p>
    <w:bookmarkEnd w:id="79"/>
    <w:bookmarkStart w:id="80" w:name="ref-Dobbertin2005"/>
    <w:p>
      <w:pPr>
        <w:pStyle w:val="Bibliografa"/>
      </w:pPr>
      <w:r>
        <w:t xml:space="preserve">Dobbertin, M. 2005. Tree growth as indicator of tree vitality and of tree reaction to environmental stress: A review. European Journal of Forest Research 124:319–333.</w:t>
      </w:r>
    </w:p>
    <w:bookmarkEnd w:id="80"/>
    <w:bookmarkStart w:id="81"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1"/>
    <w:bookmarkStart w:id="82"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2"/>
    <w:bookmarkStart w:id="83"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3"/>
    <w:bookmarkStart w:id="84"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4"/>
    <w:bookmarkStart w:id="85"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5"/>
    <w:bookmarkStart w:id="86" w:name="ref-Dunn1964"/>
    <w:p>
      <w:pPr>
        <w:pStyle w:val="Bibliografa"/>
      </w:pPr>
      <w:r>
        <w:t xml:space="preserve">Dunn, O. 1964. Multiple comparisons using rank sums. Technometrics 6:241–252.</w:t>
      </w:r>
    </w:p>
    <w:bookmarkEnd w:id="86"/>
    <w:bookmarkStart w:id="87" w:name="ref-Eilmann2012"/>
    <w:p>
      <w:pPr>
        <w:pStyle w:val="Bibliografa"/>
      </w:pPr>
      <w:r>
        <w:t xml:space="preserve">Eilmann, B., and A. Rigling. 2012. Tree-growth analyses to estimate tree species’ drought tolerance. Tree Physiology 32:178–187.</w:t>
      </w:r>
    </w:p>
    <w:bookmarkEnd w:id="87"/>
    <w:bookmarkStart w:id="88" w:name="ref-Field2012"/>
    <w:p>
      <w:pPr>
        <w:pStyle w:val="Bibliografa"/>
      </w:pPr>
      <w:r>
        <w:t xml:space="preserve">Field, A., J. Miles, and Z. Field. 2012. Discovering statistics using R. Page 1426. SAGE.</w:t>
      </w:r>
    </w:p>
    <w:bookmarkEnd w:id="88"/>
    <w:bookmarkStart w:id="89"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9"/>
    <w:bookmarkStart w:id="90"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0"/>
    <w:bookmarkStart w:id="91" w:name="ref-Fraver2005"/>
    <w:p>
      <w:pPr>
        <w:pStyle w:val="Bibliografa"/>
      </w:pPr>
      <w:r>
        <w:t xml:space="preserve">Fraver, S., and A. S. White. 2005. Identifying growth releases in dendrochronological studies of forest disturbance. Canadian Journal of Forest Research 35:1648–1656.</w:t>
      </w:r>
    </w:p>
    <w:bookmarkEnd w:id="91"/>
    <w:bookmarkStart w:id="92" w:name="ref-Fritts1976"/>
    <w:p>
      <w:pPr>
        <w:pStyle w:val="Bibliografa"/>
      </w:pPr>
      <w:r>
        <w:t xml:space="preserve">Fritts, H. C. 1976. Tree rings and climate. Academic Press, London.</w:t>
      </w:r>
    </w:p>
    <w:bookmarkEnd w:id="92"/>
    <w:bookmarkStart w:id="93"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3"/>
    <w:bookmarkStart w:id="94" w:name="ref-Gao2016"/>
    <w:p>
      <w:pPr>
        <w:pStyle w:val="Bibliografa"/>
      </w:pPr>
      <w:r>
        <w:t xml:space="preserve">Gao, Q., W. Zhu, M. W. Schwartz, H. Ganjurjav, Y. Wan, X. Qin, X. Ma, M. A. Williamson, and Y. Li. 2016. Climatic change controls productivity variation in global grasslands. Scientific Reports:26958.</w:t>
      </w:r>
    </w:p>
    <w:bookmarkEnd w:id="94"/>
    <w:bookmarkStart w:id="95"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5"/>
    <w:bookmarkStart w:id="96"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96"/>
    <w:bookmarkStart w:id="97"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7"/>
    <w:bookmarkStart w:id="98"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8"/>
    <w:bookmarkStart w:id="99"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9"/>
    <w:bookmarkStart w:id="100"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0"/>
    <w:bookmarkStart w:id="101"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1"/>
    <w:bookmarkStart w:id="102" w:name="ref-GeaIzquierdo2014"/>
    <w:p>
      <w:pPr>
        <w:pStyle w:val="Bibliografa"/>
      </w:pPr>
      <w:r>
        <w:t xml:space="preserve">Gea-Izquierdo, G., and I. Cañellas. 2014. Local climate forces instability in long-term productivity of a Mediterranean oak along climatic gradients. Ecosystems 17:228–241.</w:t>
      </w:r>
    </w:p>
    <w:bookmarkEnd w:id="102"/>
    <w:bookmarkStart w:id="103"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3"/>
    <w:bookmarkStart w:id="104"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4"/>
    <w:bookmarkStart w:id="105"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5"/>
    <w:bookmarkStart w:id="106"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6"/>
    <w:bookmarkStart w:id="107"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7"/>
    <w:bookmarkStart w:id="108"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8"/>
    <w:bookmarkStart w:id="109"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9"/>
    <w:bookmarkStart w:id="110"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0"/>
    <w:bookmarkStart w:id="111" w:name="ref-Guerreiro2017"/>
    <w:p>
      <w:pPr>
        <w:pStyle w:val="Bibliografa"/>
      </w:pPr>
      <w:r>
        <w:t xml:space="preserve">Guerreiro, S. B., C. Kilsby, and H. J. Fowler. 2017. Assessing the threat of future megadrought in Iberia. International Journal of Climatology 37:5024–5034.</w:t>
      </w:r>
    </w:p>
    <w:bookmarkEnd w:id="111"/>
    <w:bookmarkStart w:id="112" w:name="ref-Hampe2005"/>
    <w:p>
      <w:pPr>
        <w:pStyle w:val="Bibliografa"/>
      </w:pPr>
      <w:r>
        <w:t xml:space="preserve">Hampe, A., and R. J. Petit. 2005. Conserving biodiversity under climate change: The rear edge matters. Ecology Letters 8:461–467.</w:t>
      </w:r>
    </w:p>
    <w:bookmarkEnd w:id="112"/>
    <w:bookmarkStart w:id="113"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3"/>
    <w:bookmarkStart w:id="114"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4"/>
    <w:bookmarkStart w:id="115" w:name="ref-Herrero2014"/>
    <w:p>
      <w:pPr>
        <w:pStyle w:val="Bibliografa"/>
      </w:pPr>
      <w:r>
        <w:t xml:space="preserve">Herrero, A., and R. Zamora. 2014. Plant responses to extreme climatic events: A field test of resilience capacity at the southern range edge. PLOS ONE 9:e87842.</w:t>
      </w:r>
    </w:p>
    <w:bookmarkEnd w:id="115"/>
    <w:bookmarkStart w:id="116" w:name="ref-Hodgson2015"/>
    <w:p>
      <w:pPr>
        <w:pStyle w:val="Bibliografa"/>
      </w:pPr>
      <w:r>
        <w:t xml:space="preserve">Hodgson, D., J. L. McDonald, and D. J. Hosken. 2015. What do you mean, "resilient"? Trends in Ecology &amp; Evolution 30:503–506.</w:t>
      </w:r>
    </w:p>
    <w:bookmarkEnd w:id="116"/>
    <w:bookmarkStart w:id="117" w:name="ref-Hoerling2011"/>
    <w:p>
      <w:pPr>
        <w:pStyle w:val="Bibliografa"/>
      </w:pPr>
      <w:r>
        <w:t xml:space="preserve">Hoerling, M., J. Eischeid, J. Perlwitz, X. Quan, T. Zhang, and P. Pegion. 2012. On the increased frequency of Mediterranean drought. Journal of Climate 25:2146–2161.</w:t>
      </w:r>
    </w:p>
    <w:bookmarkEnd w:id="117"/>
    <w:bookmarkStart w:id="118" w:name="ref-Holling1973"/>
    <w:p>
      <w:pPr>
        <w:pStyle w:val="Bibliografa"/>
      </w:pPr>
      <w:r>
        <w:t xml:space="preserve">Holling, C. S. 1973. Resilience and stability of ecological systems. Annual Review of Ecology and Systematics 4:1–23.</w:t>
      </w:r>
    </w:p>
    <w:bookmarkEnd w:id="118"/>
    <w:bookmarkStart w:id="119" w:name="ref-Holmes1983"/>
    <w:p>
      <w:pPr>
        <w:pStyle w:val="Bibliografa"/>
      </w:pPr>
      <w:r>
        <w:t xml:space="preserve">Holmes, R. L. 1983. Computer-assisted quality control in tree-ring dating and measurement. Tree-Ring Bulletin 43:69–78.</w:t>
      </w:r>
    </w:p>
    <w:bookmarkEnd w:id="119"/>
    <w:bookmarkStart w:id="120" w:name="ref-Huang2018"/>
    <w:p>
      <w:pPr>
        <w:pStyle w:val="Bibliografa"/>
      </w:pPr>
      <w:r>
        <w:t xml:space="preserve">Huang, M., X. Wang, T. F. Keenan, and S. Piao. 2018. Drought timing influences the legacy of tree growth recovery. Global Change Biology 24:3546–3559.</w:t>
      </w:r>
    </w:p>
    <w:bookmarkEnd w:id="120"/>
    <w:bookmarkStart w:id="121"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1"/>
    <w:bookmarkStart w:id="122"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2"/>
    <w:bookmarkStart w:id="123"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3"/>
    <w:bookmarkStart w:id="124" w:name="ref-JimenezOlivencia1991"/>
    <w:p>
      <w:pPr>
        <w:pStyle w:val="Bibliografa"/>
      </w:pPr>
      <w:r>
        <w:t xml:space="preserve">Jiménez Olivencia, Y. 1991. Los paisajes de sierra nevada: Cartografía de los sistemas naturales de una montaña mediterránea. Universidad de Granada, Granada.</w:t>
      </w:r>
    </w:p>
    <w:bookmarkEnd w:id="124"/>
    <w:bookmarkStart w:id="125"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5"/>
    <w:bookmarkStart w:id="126"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26"/>
    <w:bookmarkStart w:id="127"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7"/>
    <w:bookmarkStart w:id="128"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8"/>
    <w:bookmarkStart w:id="129" w:name="ref-Leal2015"/>
    <w:p>
      <w:pPr>
        <w:pStyle w:val="Bibliografa"/>
      </w:pPr>
      <w:r>
        <w:t xml:space="preserve">Leal, S., F. Campelo, A. L. Luz, M. F. Carneiro, and J. A. Santos. 2015. Potential of oak tree-ring chronologies from southern portugal for climate reconstructions. Dendrochronologia 35:4–13.</w:t>
      </w:r>
    </w:p>
    <w:bookmarkEnd w:id="129"/>
    <w:bookmarkStart w:id="130"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0"/>
    <w:bookmarkStart w:id="131" w:name="ref-Lionello2012"/>
    <w:p>
      <w:pPr>
        <w:pStyle w:val="Bibliografa"/>
      </w:pPr>
      <w:r>
        <w:t xml:space="preserve">Lionello, P., editor. 2012. The climate of the Mediterranean region. Page 502. Elsevier, Oxford.</w:t>
      </w:r>
    </w:p>
    <w:bookmarkEnd w:id="131"/>
    <w:bookmarkStart w:id="132" w:name="ref-Lloret2011"/>
    <w:p>
      <w:pPr>
        <w:pStyle w:val="Bibliografa"/>
      </w:pPr>
      <w:r>
        <w:t xml:space="preserve">Lloret, F., E. G. Keeling, and A. Sala. 2011. Components of tree resilience: Effects of successive low-growth episodes in old ponderosa pine forests. Oikos 120:1909–1920.</w:t>
      </w:r>
    </w:p>
    <w:bookmarkEnd w:id="132"/>
    <w:bookmarkStart w:id="133" w:name="ref-Lloret2004"/>
    <w:p>
      <w:pPr>
        <w:pStyle w:val="Bibliografa"/>
      </w:pPr>
      <w:r>
        <w:t xml:space="preserve">Lloret, F., D. Siscart, and C. Dalmases. 2004. Canopy recovery after drought dieback in holm-oak mediterranean forests of catalonia (NE spain). Global Change Biology 10:2092–2099.</w:t>
      </w:r>
    </w:p>
    <w:bookmarkEnd w:id="133"/>
    <w:bookmarkStart w:id="134"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34"/>
    <w:bookmarkStart w:id="135" w:name="ref-Mair2017"/>
    <w:p>
      <w:pPr>
        <w:pStyle w:val="Bibliografa"/>
      </w:pPr>
      <w:r>
        <w:t xml:space="preserve">Mair, P., F. Schoenbrodt, and R. Wilcox. 2017. WRS2: Wilcox robust estimation and testing.</w:t>
      </w:r>
    </w:p>
    <w:bookmarkEnd w:id="135"/>
    <w:bookmarkStart w:id="136" w:name="ref-Mangiafico2017"/>
    <w:p>
      <w:pPr>
        <w:pStyle w:val="Bibliografa"/>
      </w:pPr>
      <w:r>
        <w:t xml:space="preserve">Mangiafico, S. 2017. Rcompanion: Functions to support extension education program evaluation.</w:t>
      </w:r>
    </w:p>
    <w:bookmarkEnd w:id="136"/>
    <w:bookmarkStart w:id="137" w:name="ref-MesaTorres2009"/>
    <w:p>
      <w:pPr>
        <w:pStyle w:val="Bibliografa"/>
      </w:pPr>
      <w:r>
        <w:t xml:space="preserve">Manuel, M.-T. 2009. Cáñar: Balcón de la Alpujarra. Page 352. Fundación Caja General de Ahorros de Granada.</w:t>
      </w:r>
    </w:p>
    <w:bookmarkEnd w:id="137"/>
    <w:bookmarkStart w:id="138"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8"/>
    <w:bookmarkStart w:id="139"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9"/>
    <w:bookmarkStart w:id="140"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0"/>
    <w:bookmarkStart w:id="141" w:name="ref-MartinezVilalta2018"/>
    <w:p>
      <w:pPr>
        <w:pStyle w:val="Bibliografa"/>
      </w:pPr>
      <w:r>
        <w:t xml:space="preserve">Martínez-Vilalta, J. 2018. The rear window: Structural and functional plasticity in tree responses to climate change inferred from growth rings. Tree Physiology.</w:t>
      </w:r>
    </w:p>
    <w:bookmarkEnd w:id="141"/>
    <w:bookmarkStart w:id="142"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2"/>
    <w:bookmarkStart w:id="143"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43"/>
    <w:bookmarkStart w:id="144"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44"/>
    <w:bookmarkStart w:id="145"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5"/>
    <w:bookmarkStart w:id="146"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6"/>
    <w:bookmarkStart w:id="147"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47"/>
    <w:bookmarkStart w:id="148"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8"/>
    <w:bookmarkStart w:id="149"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49"/>
    <w:bookmarkStart w:id="150"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50"/>
    <w:bookmarkStart w:id="151"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1"/>
    <w:bookmarkStart w:id="152"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52"/>
    <w:bookmarkStart w:id="153" w:name="ref-Norman2016"/>
    <w:p>
      <w:pPr>
        <w:pStyle w:val="Bibliografa"/>
      </w:pPr>
      <w:r>
        <w:t xml:space="preserve">Norman, S. P., F. H. Koch, and W. W. Hargrove. 2016. Review of broad-scale drought monitoring of forests: Toward an integrated data mining approach. Forest Ecology and Management 380:346–358.</w:t>
      </w:r>
    </w:p>
    <w:bookmarkEnd w:id="153"/>
    <w:bookmarkStart w:id="154" w:name="ref-Nowacki1997"/>
    <w:p>
      <w:pPr>
        <w:pStyle w:val="Bibliografa"/>
      </w:pPr>
      <w:r>
        <w:t xml:space="preserve">Nowacki, G. J., and M. D. Abrams. 1997. Radial-growth averaging criteria for reconstructing disturbance histories from presettlement-origing oaks. Ecological Monographs 67:225–249.</w:t>
      </w:r>
    </w:p>
    <w:bookmarkEnd w:id="154"/>
    <w:bookmarkStart w:id="155" w:name="ref-Olalde2002"/>
    <w:p>
      <w:pPr>
        <w:pStyle w:val="Bibliografa"/>
      </w:pPr>
      <w:r>
        <w:t xml:space="preserve">Olalde, M., A. Herrán, S. Espinel, and P. G. Goicoechea. 2002. White oaks phylogeography in the Iberian Peninsula. Forest Ecology and Management 156:89–102.</w:t>
      </w:r>
    </w:p>
    <w:bookmarkEnd w:id="155"/>
    <w:bookmarkStart w:id="156"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6"/>
    <w:bookmarkStart w:id="157" w:name="ref-Pascoa2017"/>
    <w:p>
      <w:pPr>
        <w:pStyle w:val="Bibliografa"/>
      </w:pPr>
      <w:r>
        <w:t xml:space="preserve">Páscoa, P., C. Gouveia, A. Russo, and R. Trigo. 2017. Drought trends in the Iberian Peninsula over the last 112 years. Advances in Meteorology:ID4653126.</w:t>
      </w:r>
    </w:p>
    <w:bookmarkEnd w:id="157"/>
    <w:bookmarkStart w:id="158"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58"/>
    <w:bookmarkStart w:id="159" w:name="ref-Penuelas2001"/>
    <w:p>
      <w:pPr>
        <w:pStyle w:val="Bibliografa"/>
      </w:pPr>
      <w:r>
        <w:t xml:space="preserve">Peñuelas, J., F. Lloret, and R. Montoya. 2001. Severe drought effects on mediterranean woody flora in spain. Forest Science 47:214–218.</w:t>
      </w:r>
    </w:p>
    <w:bookmarkEnd w:id="159"/>
    <w:bookmarkStart w:id="160"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60"/>
    <w:bookmarkStart w:id="161"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1"/>
    <w:bookmarkStart w:id="162"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62"/>
    <w:bookmarkStart w:id="163"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63"/>
    <w:bookmarkStart w:id="164"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64"/>
    <w:bookmarkStart w:id="165"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65"/>
    <w:bookmarkStart w:id="166" w:name="ref-Pohlert2014"/>
    <w:p>
      <w:pPr>
        <w:pStyle w:val="Bibliografa"/>
      </w:pPr>
      <w:r>
        <w:t xml:space="preserve">Pohlert, T. 2014. The pairwise multiple comparison of mean ranks package (pmcmr).</w:t>
      </w:r>
    </w:p>
    <w:bookmarkEnd w:id="166"/>
    <w:bookmarkStart w:id="167" w:name="ref-Thorsten2017"/>
    <w:p>
      <w:pPr>
        <w:pStyle w:val="Bibliografa"/>
      </w:pPr>
      <w:r>
        <w:t xml:space="preserve">Pohlert, T. 2017. Trend: Non-parametric trend tests and change-point detection.</w:t>
      </w:r>
    </w:p>
    <w:bookmarkEnd w:id="167"/>
    <w:bookmarkStart w:id="168" w:name="ref-R2017"/>
    <w:p>
      <w:pPr>
        <w:pStyle w:val="Bibliografa"/>
      </w:pPr>
      <w:r>
        <w:t xml:space="preserve">R Core Team. 2017. R: A language and environment for statistical computing. R Foundation for Statistical Computing, Vienna, Austria.</w:t>
      </w:r>
    </w:p>
    <w:bookmarkEnd w:id="168"/>
    <w:bookmarkStart w:id="169" w:name="ref-Regato2008"/>
    <w:p>
      <w:pPr>
        <w:pStyle w:val="Bibliografa"/>
      </w:pPr>
      <w:r>
        <w:t xml:space="preserve">Regato, P., and R. Salman. (n.d.). Mediterranean mountains in a changing world: Guidelines for developing action plans. World Conservation Union.</w:t>
      </w:r>
    </w:p>
    <w:bookmarkEnd w:id="169"/>
    <w:bookmarkStart w:id="170"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70"/>
    <w:bookmarkStart w:id="171"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71"/>
    <w:bookmarkStart w:id="172"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72"/>
    <w:bookmarkStart w:id="173"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73"/>
    <w:bookmarkStart w:id="174"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74"/>
    <w:bookmarkStart w:id="175" w:name="ref-Rubino2004"/>
    <w:p>
      <w:pPr>
        <w:pStyle w:val="Bibliografa"/>
      </w:pPr>
      <w:r>
        <w:t xml:space="preserve">Rubino, D., and B. McCarthy. 2004. Comparative analysis of dendroecological methods used to assess disturbance events. Dendrochronologia 21:97–115.</w:t>
      </w:r>
    </w:p>
    <w:bookmarkEnd w:id="175"/>
    <w:bookmarkStart w:id="176"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76"/>
    <w:bookmarkStart w:id="177"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77"/>
    <w:bookmarkStart w:id="178"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78"/>
    <w:bookmarkStart w:id="179"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79"/>
    <w:bookmarkStart w:id="180"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80"/>
    <w:bookmarkStart w:id="181"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81"/>
    <w:bookmarkStart w:id="182" w:name="ref-Sokal1995"/>
    <w:p>
      <w:pPr>
        <w:pStyle w:val="Bibliografa"/>
      </w:pPr>
      <w:r>
        <w:t xml:space="preserve">Sokal, R., and F. Rohlf. 1995. Biometry: The principles and practice of statistics in biological research. Page 887. Freeman, New York.</w:t>
      </w:r>
    </w:p>
    <w:bookmarkEnd w:id="182"/>
    <w:bookmarkStart w:id="183" w:name="ref-Spinoni2017b"/>
    <w:p>
      <w:pPr>
        <w:pStyle w:val="Bibliografa"/>
      </w:pPr>
      <w:r>
        <w:t xml:space="preserve">Spinoni, J., G. Naumann, and J. V. Vogt. 2017a. Pan-european seasonal trends and recent changes of drought frequency and severity. Global and Planetary Change 148:113–130.</w:t>
      </w:r>
    </w:p>
    <w:bookmarkEnd w:id="183"/>
    <w:bookmarkStart w:id="184" w:name="ref-Spinoni2015"/>
    <w:p>
      <w:pPr>
        <w:pStyle w:val="Bibliografa"/>
      </w:pPr>
      <w:r>
        <w:t xml:space="preserve">Spinoni, J., G. Naumann, J. V. Vogt, and P. Barbosa. 2015. The biggest drought events in Europe from 1950 to 2012. Journal of Hydrology: Regional Studies 3:509–524.</w:t>
      </w:r>
    </w:p>
    <w:bookmarkEnd w:id="184"/>
    <w:bookmarkStart w:id="185" w:name="ref-Spinoni2017a"/>
    <w:p>
      <w:pPr>
        <w:pStyle w:val="Bibliografa"/>
      </w:pPr>
      <w:r>
        <w:t xml:space="preserve">Spinoni, J., J. V. Vogt, G. Naumann, P. Barbosa, and A. Dosio. 2017b. Will drought events become more frequent and severe in Europe? International Journal of Climatology.</w:t>
      </w:r>
    </w:p>
    <w:bookmarkEnd w:id="185"/>
    <w:bookmarkStart w:id="186" w:name="ref-Stagge2017"/>
    <w:p>
      <w:pPr>
        <w:pStyle w:val="Bibliografa"/>
      </w:pPr>
      <w:r>
        <w:t xml:space="preserve">Stagge, J. H., D. G. Kingston, L. M. Tallaksen, and D. M. Hannah. 2017. Observed drought indices show increasing divergence across Europe. Scientific Reports 7:14045.</w:t>
      </w:r>
    </w:p>
    <w:bookmarkEnd w:id="186"/>
    <w:bookmarkStart w:id="187"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87"/>
    <w:bookmarkStart w:id="188" w:name="ref-Trenberth2014"/>
    <w:p>
      <w:pPr>
        <w:pStyle w:val="Bibliografa"/>
      </w:pPr>
      <w:r>
        <w:t xml:space="preserve">Trenberth, K. E., A. Dai, G. van der Schrier, P. D. Jones, J. Barichivich, K. R. Briffa, and J. Sheffield. 2014. Global warming and changes in drought. Nature Climate Change 4:17–22.</w:t>
      </w:r>
    </w:p>
    <w:bookmarkEnd w:id="188"/>
    <w:bookmarkStart w:id="189"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89"/>
    <w:bookmarkStart w:id="190"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90"/>
    <w:bookmarkStart w:id="191"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91"/>
    <w:bookmarkStart w:id="192"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92"/>
    <w:bookmarkStart w:id="193"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193"/>
    <w:bookmarkStart w:id="194"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194"/>
    <w:bookmarkStart w:id="195"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95"/>
    <w:bookmarkStart w:id="196" w:name="ref-VicenteSerrano2007"/>
    <w:p>
      <w:pPr>
        <w:pStyle w:val="Bibliografa"/>
      </w:pPr>
      <w:r>
        <w:t xml:space="preserve">Vicente-Serrano, S. M. 2007. Evaluating the impact of drought using remote sensing in a Mediterranean, semi-arid region. Natural Hazards 40:173–208.</w:t>
      </w:r>
    </w:p>
    <w:bookmarkEnd w:id="196"/>
    <w:bookmarkStart w:id="197"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97"/>
    <w:bookmarkStart w:id="198"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98"/>
    <w:bookmarkStart w:id="199"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99"/>
    <w:bookmarkStart w:id="200"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00"/>
    <w:bookmarkStart w:id="201"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01"/>
    <w:bookmarkStart w:id="202"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202"/>
    <w:bookmarkStart w:id="203"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03"/>
    <w:bookmarkStart w:id="204"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04"/>
    <w:bookmarkStart w:id="205"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05"/>
    <w:bookmarkStart w:id="206" w:name="ref-Wilcox2012"/>
    <w:p>
      <w:pPr>
        <w:pStyle w:val="Bibliografa"/>
      </w:pPr>
      <w:r>
        <w:t xml:space="preserve">Wilcox, R. 2012. Introduction to robust estimation and hypothesis testing (third edition). Page 608. Third Edition. Academic Press.</w:t>
      </w:r>
    </w:p>
    <w:bookmarkEnd w:id="206"/>
    <w:bookmarkStart w:id="207" w:name="ref-Wing2015"/>
    <w:p>
      <w:pPr>
        <w:pStyle w:val="Bibliografa"/>
      </w:pPr>
      <w:r>
        <w:t xml:space="preserve">Wing, J. T. 2015. Roots of empire. Brill.</w:t>
      </w:r>
    </w:p>
    <w:bookmarkEnd w:id="207"/>
    <w:bookmarkStart w:id="208"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208"/>
    <w:bookmarkStart w:id="209" w:name="ref-Zang2015"/>
    <w:p>
      <w:pPr>
        <w:pStyle w:val="Bibliografa"/>
      </w:pPr>
      <w:r>
        <w:t xml:space="preserve">Zang, C., and F. Biondi. 2015. Treeclim: An r package for the numerical calibration of proxy-climate relationships. Ecography 38:431–436.</w:t>
      </w:r>
    </w:p>
    <w:bookmarkEnd w:id="209"/>
    <w:bookmarkStart w:id="210"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10"/>
    <w:bookmarkEnd w:id="211"/>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2019-03-14T16:50:03Z</dcterms:created>
  <dcterms:modified xsi:type="dcterms:W3CDTF">2019-03-14T16:50:03Z</dcterms:modified>
</cp:coreProperties>
</file>