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S1.</w:t>
      </w:r>
      <w:r>
        <w:t xml:space="preserve"> </w:t>
      </w:r>
      <w:r>
        <w:t xml:space="preserve">Robust measures of central tendency of resilience indices for greenness (EVI) groupped by drought events, site and interaction. Measures of central tendency are M-estimators based on Huber’s Psi (see material and methods). 95 % confidence intervals using 3000 bootstrap are included in parentheses.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84f5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2018-01-23T10:25:50Z</dcterms:created>
  <dcterms:modified xsi:type="dcterms:W3CDTF">2018-01-23T10:25:50Z</dcterms:modified>
</cp:coreProperties>
</file>