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3B" w:rsidRDefault="00403BDB">
      <w:r>
        <w:rPr>
          <w:b/>
        </w:rPr>
        <w:t>Table 3.</w:t>
      </w:r>
      <w:r>
        <w:t xml:space="preserve"> Robust two-way ANOVAs of the resilience metrics of greenness (EVI) and tree-growth (BAI) for</w:t>
      </w:r>
      <w:bookmarkStart w:id="0" w:name="_GoBack"/>
      <w:bookmarkEnd w:id="0"/>
      <w:r>
        <w:t xml:space="preserve"> the factor drought events (2005 and 2012) and site.</w:t>
      </w:r>
    </w:p>
    <w:tbl>
      <w:tblPr>
        <w:tblW w:w="0" w:type="auto"/>
        <w:tblLook w:val="07E0" w:firstRow="1" w:lastRow="1" w:firstColumn="1" w:lastColumn="1" w:noHBand="1" w:noVBand="1"/>
      </w:tblPr>
      <w:tblGrid>
        <w:gridCol w:w="777"/>
        <w:gridCol w:w="1693"/>
        <w:gridCol w:w="964"/>
        <w:gridCol w:w="964"/>
        <w:gridCol w:w="964"/>
        <w:gridCol w:w="964"/>
        <w:gridCol w:w="1008"/>
        <w:gridCol w:w="964"/>
      </w:tblGrid>
      <w:tr w:rsidR="00403BDB" w:rsidTr="00403BDB">
        <w:tc>
          <w:tcPr>
            <w:tcW w:w="0" w:type="auto"/>
            <w:vAlign w:val="bottom"/>
          </w:tcPr>
          <w:p w:rsidR="00F5243B" w:rsidRDefault="00F5243B">
            <w:pPr>
              <w:pStyle w:val="Compact"/>
              <w:jc w:val="center"/>
            </w:pPr>
          </w:p>
        </w:tc>
        <w:tc>
          <w:tcPr>
            <w:tcW w:w="0" w:type="auto"/>
            <w:vAlign w:val="bottom"/>
          </w:tcPr>
          <w:p w:rsidR="00F5243B" w:rsidRDefault="00F5243B">
            <w:pPr>
              <w:pStyle w:val="Compact"/>
              <w:jc w:val="center"/>
            </w:pPr>
          </w:p>
        </w:tc>
        <w:tc>
          <w:tcPr>
            <w:tcW w:w="964" w:type="dxa"/>
            <w:tcBorders>
              <w:bottom w:val="single" w:sz="0" w:space="0" w:color="auto"/>
            </w:tcBorders>
            <w:vAlign w:val="bottom"/>
          </w:tcPr>
          <w:p w:rsidR="00F5243B" w:rsidRDefault="00403BDB">
            <w:pPr>
              <w:pStyle w:val="Compact"/>
              <w:jc w:val="center"/>
            </w:pPr>
            <w:r>
              <w:t>Recovery</w:t>
            </w:r>
          </w:p>
        </w:tc>
        <w:tc>
          <w:tcPr>
            <w:tcW w:w="964" w:type="dxa"/>
            <w:tcBorders>
              <w:bottom w:val="single" w:sz="0" w:space="0" w:color="auto"/>
            </w:tcBorders>
            <w:vAlign w:val="bottom"/>
          </w:tcPr>
          <w:p w:rsidR="00F5243B" w:rsidRDefault="00F5243B">
            <w:pPr>
              <w:pStyle w:val="Compact"/>
              <w:jc w:val="center"/>
            </w:pPr>
          </w:p>
        </w:tc>
        <w:tc>
          <w:tcPr>
            <w:tcW w:w="964" w:type="dxa"/>
            <w:tcBorders>
              <w:bottom w:val="single" w:sz="0" w:space="0" w:color="auto"/>
            </w:tcBorders>
            <w:vAlign w:val="bottom"/>
          </w:tcPr>
          <w:p w:rsidR="00F5243B" w:rsidRDefault="00403BDB">
            <w:pPr>
              <w:pStyle w:val="Compact"/>
              <w:jc w:val="center"/>
            </w:pPr>
            <w:r>
              <w:t>Resilience</w:t>
            </w:r>
          </w:p>
        </w:tc>
        <w:tc>
          <w:tcPr>
            <w:tcW w:w="964" w:type="dxa"/>
            <w:tcBorders>
              <w:bottom w:val="single" w:sz="0" w:space="0" w:color="auto"/>
            </w:tcBorders>
            <w:vAlign w:val="bottom"/>
          </w:tcPr>
          <w:p w:rsidR="00F5243B" w:rsidRDefault="00F5243B">
            <w:pPr>
              <w:pStyle w:val="Compact"/>
              <w:jc w:val="center"/>
            </w:pPr>
          </w:p>
        </w:tc>
        <w:tc>
          <w:tcPr>
            <w:tcW w:w="964" w:type="dxa"/>
            <w:tcBorders>
              <w:bottom w:val="single" w:sz="0" w:space="0" w:color="auto"/>
            </w:tcBorders>
            <w:vAlign w:val="bottom"/>
          </w:tcPr>
          <w:p w:rsidR="00F5243B" w:rsidRDefault="00403BDB">
            <w:pPr>
              <w:pStyle w:val="Compact"/>
              <w:jc w:val="center"/>
            </w:pPr>
            <w:r>
              <w:t>Resistance</w:t>
            </w:r>
          </w:p>
        </w:tc>
        <w:tc>
          <w:tcPr>
            <w:tcW w:w="964" w:type="dxa"/>
            <w:tcBorders>
              <w:bottom w:val="single" w:sz="0" w:space="0" w:color="auto"/>
            </w:tcBorders>
            <w:vAlign w:val="bottom"/>
          </w:tcPr>
          <w:p w:rsidR="00F5243B" w:rsidRDefault="00F5243B">
            <w:pPr>
              <w:pStyle w:val="Compact"/>
              <w:jc w:val="center"/>
            </w:pPr>
          </w:p>
        </w:tc>
      </w:tr>
      <w:tr w:rsidR="00403BDB" w:rsidTr="00403BDB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403BDB" w:rsidRDefault="00403BDB" w:rsidP="00DB2E53">
            <w:pPr>
              <w:pStyle w:val="Compact"/>
              <w:jc w:val="center"/>
            </w:pPr>
            <w:proofErr w:type="gramStart"/>
            <w:r>
              <w:t>variable</w:t>
            </w:r>
            <w:proofErr w:type="gramEnd"/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:rsidR="00403BDB" w:rsidRDefault="00403BDB" w:rsidP="00DB2E53">
            <w:pPr>
              <w:pStyle w:val="Compact"/>
              <w:jc w:val="center"/>
            </w:pPr>
            <w:proofErr w:type="gramStart"/>
            <w:r>
              <w:t>factors</w:t>
            </w:r>
            <w:proofErr w:type="gramEnd"/>
          </w:p>
        </w:tc>
        <w:tc>
          <w:tcPr>
            <w:tcW w:w="964" w:type="dxa"/>
            <w:tcBorders>
              <w:bottom w:val="single" w:sz="0" w:space="0" w:color="auto"/>
            </w:tcBorders>
            <w:vAlign w:val="bottom"/>
          </w:tcPr>
          <w:p w:rsidR="00403BDB" w:rsidRDefault="00403BDB" w:rsidP="00DB2E53">
            <w:pPr>
              <w:pStyle w:val="Compact"/>
              <w:jc w:val="center"/>
            </w:pPr>
            <w:r>
              <w:t>F</w:t>
            </w:r>
          </w:p>
        </w:tc>
        <w:tc>
          <w:tcPr>
            <w:tcW w:w="964" w:type="dxa"/>
            <w:tcBorders>
              <w:bottom w:val="single" w:sz="0" w:space="0" w:color="auto"/>
            </w:tcBorders>
            <w:vAlign w:val="bottom"/>
          </w:tcPr>
          <w:p w:rsidR="00403BDB" w:rsidRDefault="00403BDB" w:rsidP="00DB2E53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964" w:type="dxa"/>
            <w:tcBorders>
              <w:bottom w:val="single" w:sz="0" w:space="0" w:color="auto"/>
            </w:tcBorders>
            <w:vAlign w:val="bottom"/>
          </w:tcPr>
          <w:p w:rsidR="00403BDB" w:rsidRDefault="00403BDB" w:rsidP="00DB2E53">
            <w:pPr>
              <w:pStyle w:val="Compact"/>
              <w:jc w:val="center"/>
            </w:pPr>
            <w:r>
              <w:t>F</w:t>
            </w:r>
          </w:p>
        </w:tc>
        <w:tc>
          <w:tcPr>
            <w:tcW w:w="964" w:type="dxa"/>
            <w:tcBorders>
              <w:bottom w:val="single" w:sz="0" w:space="0" w:color="auto"/>
            </w:tcBorders>
            <w:vAlign w:val="bottom"/>
          </w:tcPr>
          <w:p w:rsidR="00403BDB" w:rsidRDefault="00403BDB" w:rsidP="00DB2E53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  <w:tc>
          <w:tcPr>
            <w:tcW w:w="964" w:type="dxa"/>
            <w:tcBorders>
              <w:bottom w:val="single" w:sz="0" w:space="0" w:color="auto"/>
            </w:tcBorders>
            <w:vAlign w:val="bottom"/>
          </w:tcPr>
          <w:p w:rsidR="00403BDB" w:rsidRDefault="00403BDB" w:rsidP="00DB2E53">
            <w:pPr>
              <w:pStyle w:val="Compact"/>
              <w:jc w:val="center"/>
            </w:pPr>
            <w:r>
              <w:t>F</w:t>
            </w:r>
          </w:p>
        </w:tc>
        <w:tc>
          <w:tcPr>
            <w:tcW w:w="964" w:type="dxa"/>
            <w:tcBorders>
              <w:bottom w:val="single" w:sz="0" w:space="0" w:color="auto"/>
            </w:tcBorders>
            <w:vAlign w:val="bottom"/>
          </w:tcPr>
          <w:p w:rsidR="00403BDB" w:rsidRDefault="00403BDB" w:rsidP="00DB2E53">
            <w:pPr>
              <w:pStyle w:val="Compact"/>
              <w:jc w:val="center"/>
            </w:pPr>
            <w:proofErr w:type="gramStart"/>
            <w:r>
              <w:t>p</w:t>
            </w:r>
            <w:proofErr w:type="gramEnd"/>
          </w:p>
        </w:tc>
      </w:tr>
      <w:tr w:rsidR="00403BDB" w:rsidTr="00403BDB">
        <w:tc>
          <w:tcPr>
            <w:tcW w:w="0" w:type="auto"/>
            <w:tcBorders>
              <w:top w:val="single" w:sz="4" w:space="0" w:color="auto"/>
            </w:tcBorders>
          </w:tcPr>
          <w:p w:rsidR="00403BDB" w:rsidRDefault="00403BDB" w:rsidP="00403BDB">
            <w:pPr>
              <w:pStyle w:val="Compact"/>
            </w:pP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Drougth event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29.55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44.31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6.02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0.019</w:t>
            </w:r>
          </w:p>
        </w:tc>
      </w:tr>
      <w:tr w:rsidR="00403BDB" w:rsidTr="00403BDB">
        <w:tc>
          <w:tcPr>
            <w:tcW w:w="0" w:type="auto"/>
          </w:tcPr>
          <w:p w:rsidR="00403BDB" w:rsidRDefault="00403BDB">
            <w:pPr>
              <w:pStyle w:val="Compact"/>
              <w:jc w:val="center"/>
            </w:pPr>
            <w:r>
              <w:t>BAI</w:t>
            </w:r>
          </w:p>
        </w:tc>
        <w:tc>
          <w:tcPr>
            <w:tcW w:w="0" w:type="auto"/>
          </w:tcPr>
          <w:p w:rsidR="00403BDB" w:rsidRDefault="00403BDB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53.08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1.31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0.534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59.25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</w:tr>
      <w:tr w:rsidR="00403BDB" w:rsidTr="00403BDB">
        <w:tc>
          <w:tcPr>
            <w:tcW w:w="0" w:type="auto"/>
            <w:tcBorders>
              <w:bottom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Drougth event X Site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4.4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0.134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30.01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32.24</w:t>
            </w:r>
          </w:p>
        </w:tc>
        <w:tc>
          <w:tcPr>
            <w:tcW w:w="964" w:type="dxa"/>
            <w:tcBorders>
              <w:bottom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</w:tr>
      <w:tr w:rsidR="00403BDB" w:rsidTr="00403BDB">
        <w:tc>
          <w:tcPr>
            <w:tcW w:w="0" w:type="auto"/>
            <w:tcBorders>
              <w:top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Drougth event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312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207.2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799.9</w:t>
            </w:r>
          </w:p>
        </w:tc>
        <w:tc>
          <w:tcPr>
            <w:tcW w:w="964" w:type="dxa"/>
            <w:tcBorders>
              <w:top w:val="single" w:sz="4" w:space="0" w:color="auto"/>
            </w:tcBorders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</w:tr>
      <w:tr w:rsidR="00403BDB" w:rsidTr="00403BDB">
        <w:tc>
          <w:tcPr>
            <w:tcW w:w="0" w:type="auto"/>
          </w:tcPr>
          <w:p w:rsidR="00403BDB" w:rsidRDefault="00403BDB">
            <w:pPr>
              <w:pStyle w:val="Compact"/>
              <w:jc w:val="center"/>
            </w:pPr>
            <w:r>
              <w:t>EVI</w:t>
            </w:r>
          </w:p>
        </w:tc>
        <w:tc>
          <w:tcPr>
            <w:tcW w:w="0" w:type="auto"/>
          </w:tcPr>
          <w:p w:rsidR="00403BDB" w:rsidRDefault="00403BDB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105.4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29.82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153.2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</w:tr>
      <w:tr w:rsidR="00403BDB" w:rsidTr="00403BDB">
        <w:tc>
          <w:tcPr>
            <w:tcW w:w="0" w:type="auto"/>
          </w:tcPr>
          <w:p w:rsidR="00403BDB" w:rsidRDefault="00403BDB">
            <w:pPr>
              <w:pStyle w:val="Compact"/>
              <w:jc w:val="center"/>
            </w:pPr>
            <w:r>
              <w:t xml:space="preserve"> </w:t>
            </w:r>
          </w:p>
        </w:tc>
        <w:tc>
          <w:tcPr>
            <w:tcW w:w="0" w:type="auto"/>
          </w:tcPr>
          <w:p w:rsidR="00403BDB" w:rsidRDefault="00403BDB">
            <w:pPr>
              <w:pStyle w:val="Compact"/>
              <w:jc w:val="center"/>
            </w:pPr>
            <w:r>
              <w:t>Drougth event X Site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364.3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6.14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0.014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234.7</w:t>
            </w:r>
          </w:p>
        </w:tc>
        <w:tc>
          <w:tcPr>
            <w:tcW w:w="964" w:type="dxa"/>
          </w:tcPr>
          <w:p w:rsidR="00403BDB" w:rsidRDefault="00403BDB">
            <w:pPr>
              <w:pStyle w:val="Compact"/>
              <w:jc w:val="center"/>
            </w:pPr>
            <w:r>
              <w:t>0.001</w:t>
            </w:r>
          </w:p>
        </w:tc>
      </w:tr>
    </w:tbl>
    <w:p w:rsidR="00000000" w:rsidRDefault="00403BDB"/>
    <w:sectPr w:rsidR="00000000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03BDB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403BD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243B" w:rsidRDefault="00403BDB">
      <w:r>
        <w:separator/>
      </w:r>
    </w:p>
  </w:footnote>
  <w:footnote w:type="continuationSeparator" w:id="0">
    <w:p w:rsidR="00F5243B" w:rsidRDefault="00403B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605983A"/>
    <w:multiLevelType w:val="multilevel"/>
    <w:tmpl w:val="E2601ED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03BDB"/>
    <w:rsid w:val="004E29B3"/>
    <w:rsid w:val="00590D07"/>
    <w:rsid w:val="00784D58"/>
    <w:rsid w:val="008D6863"/>
    <w:rsid w:val="00B86B75"/>
    <w:rsid w:val="00BC48D5"/>
    <w:rsid w:val="00C36279"/>
    <w:rsid w:val="00E315A3"/>
    <w:rsid w:val="00F5243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450</Characters>
  <Application>Microsoft Macintosh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Antonio J.</dc:creator>
  <cp:lastModifiedBy>Antonio J.</cp:lastModifiedBy>
  <cp:revision>2</cp:revision>
  <cp:lastPrinted>2018-01-23T09:18:00Z</cp:lastPrinted>
  <dcterms:created xsi:type="dcterms:W3CDTF">2018-01-23T09:19:00Z</dcterms:created>
  <dcterms:modified xsi:type="dcterms:W3CDTF">2018-01-23T09:19:00Z</dcterms:modified>
</cp:coreProperties>
</file>