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 and Density are computed for all trees within a 10-m radius of focal trees (see methods). Values shown here correspond to site averages. Standard deviations are shown in parentheses.</w:t>
      </w:r>
    </w:p>
    <w:tbl>
      <w:tblPr>
        <w:tblStyle w:val="TableNormal"/>
        <w:tblW w:type="pct" w:w="5000.0"/>
        <w:tblLook w:firstRow="1"/>
      </w:tblPr>
      <w:tblGrid>
        <w:gridCol w:w="281"/>
        <w:gridCol w:w="562"/>
        <w:gridCol w:w="603"/>
        <w:gridCol w:w="643"/>
        <w:gridCol w:w="643"/>
        <w:gridCol w:w="402"/>
        <w:gridCol w:w="402"/>
        <w:gridCol w:w="562"/>
        <w:gridCol w:w="522"/>
        <w:gridCol w:w="562"/>
        <w:gridCol w:w="603"/>
        <w:gridCol w:w="683"/>
        <w:gridCol w:w="643"/>
        <w:gridCol w:w="8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69.8 (20.5) a</w:t>
            </w:r>
          </w:p>
        </w:tc>
        <w:tc>
          <w:p>
            <w:pPr>
              <w:pStyle w:val="Compact"/>
              <w:jc w:val="center"/>
            </w:pPr>
            <w:r>
              <w:t xml:space="preserve">15.4 (1.8) a</w:t>
            </w:r>
          </w:p>
        </w:tc>
        <w:tc>
          <w:p>
            <w:pPr>
              <w:pStyle w:val="Compact"/>
              <w:jc w:val="center"/>
            </w:pPr>
            <w:r>
              <w:t xml:space="preserve">161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 a</w:t>
            </w:r>
          </w:p>
        </w:tc>
        <w:tc>
          <w:p>
            <w:pPr>
              <w:pStyle w:val="Compact"/>
              <w:jc w:val="center"/>
            </w:pPr>
            <w:r>
              <w:t xml:space="preserve">10.8 (4.4) a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 a</w:t>
            </w:r>
          </w:p>
        </w:tc>
        <w:tc>
          <w:p>
            <w:pPr>
              <w:pStyle w:val="Compact"/>
              <w:jc w:val="center"/>
            </w:pPr>
            <w:r>
              <w:t xml:space="preserve">348 (147.1)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45.9 (8.6) a</w:t>
            </w:r>
          </w:p>
        </w:tc>
        <w:tc>
          <w:p>
            <w:pPr>
              <w:pStyle w:val="Compact"/>
              <w:jc w:val="center"/>
            </w:pPr>
            <w:r>
              <w:t xml:space="preserve">12.6 (1.6) b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 b</w:t>
            </w:r>
          </w:p>
        </w:tc>
        <w:tc>
          <w:p>
            <w:pPr>
              <w:pStyle w:val="Compact"/>
              <w:jc w:val="center"/>
            </w:pPr>
            <w:r>
              <w:t xml:space="preserve">9 (2.8) b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 ab</w:t>
            </w:r>
          </w:p>
        </w:tc>
        <w:tc>
          <w:p>
            <w:pPr>
              <w:pStyle w:val="Compact"/>
              <w:jc w:val="center"/>
            </w:pPr>
            <w:r>
              <w:t xml:space="preserve">409.6 (226)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31.9 (3.7) b</w:t>
            </w:r>
          </w:p>
        </w:tc>
        <w:tc>
          <w:p>
            <w:pPr>
              <w:pStyle w:val="Compact"/>
              <w:jc w:val="center"/>
            </w:pPr>
            <w:r>
              <w:t xml:space="preserve">11.8 (2.3) b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 b</w:t>
            </w:r>
          </w:p>
        </w:tc>
        <w:tc>
          <w:p>
            <w:pPr>
              <w:pStyle w:val="Compact"/>
              <w:jc w:val="center"/>
            </w:pPr>
            <w:r>
              <w:t xml:space="preserve">9.7 (3.6) ab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 b</w:t>
            </w:r>
          </w:p>
        </w:tc>
        <w:tc>
          <w:p>
            <w:pPr>
              <w:pStyle w:val="Compact"/>
              <w:jc w:val="center"/>
            </w:pPr>
            <w:r>
              <w:t xml:space="preserve">339 (130.3) a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df29b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2018-01-23T17:56:17Z</dcterms:created>
  <dcterms:modified xsi:type="dcterms:W3CDTF">2018-01-23T17:56:17Z</dcterms:modified>
</cp:coreProperties>
</file>