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1" w:name="discussion"/>
      <w:bookmarkEnd w:id="41"/>
      <w:r>
        <w:t xml:space="preserve">Discussion</w:t>
      </w:r>
    </w:p>
    <w:p>
      <w:pPr>
        <w:pStyle w:val="Ttulo2"/>
      </w:pPr>
      <w:bookmarkStart w:id="42" w:name="oaks-show-high-resilience-in-response-to-recent-drought-events"/>
      <w:bookmarkEnd w:id="42"/>
      <w:r>
        <w:t xml:space="preserve">Oaks show high resilience in response to recent drought events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This common signal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 agrees with those obtained by previous works using other remote 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observamos como estas poblaciones muestran altos valores de resiliencia. Como muestrasn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nuestros resultados muestran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Esta idea se vería reforzada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Así por ejemplo vimos que las anomalías estandarizadas de EVI fueron mas negativas en la población del norte durante la sequía de 2005 (mayor intensidad de browing en 2005 para el norte).</w:t>
      </w:r>
    </w:p>
    <w:p>
      <w:pPr>
        <w:pStyle w:val="Textodecuerpo"/>
      </w:pPr>
      <w:r>
        <w:t xml:space="preserve">A striking result is the difference for tree growth between sites (Figure 4). The trees of CA-High site, which are located around 1900 m. a.s.l. and representing the upper limit of the treeline of the species in this southernmost location,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Finally another idea to consider is the different degree of anthropic impact related to elevation.</w:t>
      </w:r>
    </w:p>
    <w:p>
      <w:pPr>
        <w:pStyle w:val="Textodecuerpo"/>
      </w:pPr>
      <w:r>
        <w:t xml:space="preserve">Aunque nuestros sitios presenten valores similares de competencia, la historia de manejo humano puede ser diferente, y en parte se relaciona con la altitud. Así en zonas altas encontramos un menor impacto humano que en las zonas bajas. Esto ocurre</w:t>
      </w:r>
    </w:p>
    <w:p>
      <w:pPr>
        <w:pStyle w:val="Textodecuerpo"/>
      </w:pPr>
      <w:r>
        <w:t xml:space="preserve">Another reason that could explain the higher values of BAI of CA-High site is el grado diferente de impacto antrópico. En nuestros resultados vemos como los bosques situados a mayor altitud presentan un menor impacto antrópico. Esto puede ser simplemente por el hecho de que estos bosques estén menos accesibles —&gt; ojo y la idea de que son bosque relativamente jóvenes</w:t>
      </w:r>
      <w:r>
        <w:t xml:space="preserve"> </w:t>
      </w:r>
      <w:r>
        <w:t xml:space="preserve">—&gt; Gráfica</w:t>
      </w:r>
      <w:r>
        <w:t xml:space="preserve"> </w:t>
      </w:r>
      <w:r>
        <w:t xml:space="preserve">Our sampled sited showed similar tree competence levels (Table 1), but … impacto antrópico diferente</w:t>
      </w:r>
    </w:p>
    <w:p>
      <w:pPr>
        <w:pStyle w:val="Compact"/>
        <w:numPr>
          <w:numId w:val="1001"/>
          <w:ilvl w:val="0"/>
        </w:numPr>
      </w:pPr>
      <w:r>
        <w:t xml:space="preserve">Quizá están creciendo donde les están dejando (menor impacto antrópico en las zonas mas altas, al menos en los últimos años??)</w:t>
      </w:r>
    </w:p>
    <w:p>
      <w:pPr>
        <w:pStyle w:val="FirstParagraph"/>
      </w:pPr>
      <w:r>
        <w:t xml:space="preserve">The presence of</w:t>
      </w:r>
      <w:r>
        <w:t xml:space="preserve"> </w:t>
      </w:r>
      <w:r>
        <w:rPr>
          <w:i/>
        </w:rPr>
        <w:t xml:space="preserve">Q. pyrenaica</w:t>
      </w:r>
      <w:r>
        <w:t xml:space="preserve"> </w:t>
      </w:r>
      <w:r>
        <w:t xml:space="preserve">forests on the southern slopes of Sierra Nevada is partly explained by the additional contribution of humid air from the Mediterranean sea</w:t>
      </w:r>
      <w:r>
        <w:t xml:space="preserve"> </w:t>
      </w:r>
      <w:r>
        <w:t xml:space="preserve">(Prieto 1975)</w:t>
      </w:r>
    </w:p>
    <w:p>
      <w:pPr>
        <w:pStyle w:val="Textodecuerpo"/>
      </w:pPr>
      <w:r>
        <w:t xml:space="preserve">Tanto en el greenness como en el growth, encotramos direfencias para el greenness y el crecimiento entre las poblaciones situadas al norte y al sur.</w:t>
      </w:r>
    </w:p>
    <w:p>
      <w:pPr>
        <w:pStyle w:val="Textodecuerpo"/>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3"/>
      </w:pPr>
      <w:bookmarkStart w:id="44" w:name="otra-cosa"/>
      <w:bookmarkEnd w:id="44"/>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 of Mediterranean forests and the social, environmental and climatic conditions that are projected for the coming years and decades.</w:t>
      </w:r>
    </w:p>
    <w:p>
      <w:pPr>
        <w:pStyle w:val="Ttulo4"/>
      </w:pPr>
      <w:bookmarkStart w:id="45" w:name="climate-and-tree-relationship"/>
      <w:bookmarkEnd w:id="45"/>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(Gea-Izquierdo and Cañellas 2014, Gea-Izquierdo et al. 2014, González-González et al. 2014, Leal et al. 2015, Camisón et al. 2016, García-González and Souto-Herrero 2017, Roig et al. n.d.)</w:t>
      </w:r>
    </w:p>
    <w:p>
      <w:pPr>
        <w:pStyle w:val="Ttulo3"/>
      </w:pPr>
      <w:bookmarkStart w:id="46" w:name="que-factor-es-mas-limitante-para-el-crecimiento-en-el-rear-edge-de-q.-pyrenaica"/>
      <w:bookmarkEnd w:id="46"/>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Ttulo4"/>
      </w:pPr>
      <w:bookmarkStart w:id="47" w:name="disturbance"/>
      <w:bookmarkEnd w:id="47"/>
      <w:r>
        <w:t xml:space="preserve">Disturbance</w:t>
      </w:r>
    </w:p>
    <w:p>
      <w:pPr>
        <w:pStyle w:val="FirstParagraph"/>
      </w:pPr>
      <w:r>
        <w:t xml:space="preserve">Estos periodos se relacionan bien con eventos antrópicos: mineria (el primero de ellos) y actividades forestales el segundo (esta frase de la minería y demás la dejamos para la discusión??).</w:t>
      </w:r>
    </w:p>
    <w:p>
      <w:pPr>
        <w:pStyle w:val="Textodecuerpo"/>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8" w:name="historia-forestal-de-ambos-sitios"/>
      <w:bookmarkEnd w:id="48"/>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2"/>
          <w:ilvl w:val="0"/>
        </w:numPr>
      </w:pPr>
      <w:r>
        <w:t xml:space="preserve">Minería: datos de minería, que afectan sobre todo a la población de SJ (los tenemos localizados temporalmente)</w:t>
      </w:r>
    </w:p>
    <w:p>
      <w:pPr>
        <w:pStyle w:val="Compact"/>
        <w:numPr>
          <w:numId w:val="1002"/>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2"/>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9" w:name="mas-cosas-diferentes"/>
      <w:bookmarkEnd w:id="49"/>
      <w:r>
        <w:t xml:space="preserve">MAs cosas diferentes</w:t>
      </w:r>
    </w:p>
    <w:p>
      <w:pPr>
        <w:pStyle w:val="FirstParagraph"/>
      </w:pPr>
      <w:r>
        <w:t xml:space="preserve">Otras especies: rear edge</w:t>
      </w:r>
    </w:p>
    <w:p>
      <w:pPr>
        <w:pStyle w:val="Textodecuerpo"/>
      </w:pPr>
      <w:r>
        <w:t xml:space="preserve">Evaluar el crecimiento en el rear edge de F. sylvatica</w:t>
      </w:r>
      <w:r>
        <w:t xml:space="preserve"> </w:t>
      </w:r>
      <w:hyperlink r:id="rId50">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1">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2">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3" w:name="esto-viene-del-apartado-radial-growth-trends-and-climate"/>
      <w:bookmarkEnd w:id="53"/>
      <w:r>
        <w:t xml:space="preserve">Esto viene del apartado Radial growth trends and climate</w:t>
      </w:r>
    </w:p>
    <w:p>
      <w:pPr>
        <w:pStyle w:val="Compact"/>
        <w:numPr>
          <w:numId w:val="1003"/>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4" w:name="otras"/>
      <w:bookmarkEnd w:id="54"/>
      <w:r>
        <w:t xml:space="preserve">Otras</w:t>
      </w:r>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5" w:name="otras-notas"/>
      <w:bookmarkEnd w:id="55"/>
      <w:r>
        <w:t xml:space="preserve">Otras notas:</w:t>
      </w:r>
    </w:p>
    <w:p>
      <w:pPr>
        <w:numPr>
          <w:numId w:val="1004"/>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6">
        <w:r>
          <w:rPr>
            <w:rStyle w:val="Hipervnculo"/>
          </w:rPr>
          <w:t xml:space="preserve">https://www.sciencedirect.com/science/article/pii/S030147971400379X?via%3Dihub</w:t>
        </w:r>
      </w:hyperlink>
    </w:p>
    <w:p>
      <w:pPr>
        <w:numPr>
          <w:numId w:val="1004"/>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7">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05"/>
          <w:ilvl w:val="0"/>
        </w:numPr>
      </w:pPr>
      <w:r>
        <w:t xml:space="preserve">rear edge</w:t>
      </w:r>
    </w:p>
    <w:p>
      <w:pPr>
        <w:numPr>
          <w:numId w:val="1006"/>
          <w:ilvl w:val="0"/>
        </w:numPr>
      </w:pPr>
      <w:r>
        <w:t xml:space="preserve">además (Vulnerabilidad de los bosques a los eventos climáticos extremos …):</w:t>
      </w:r>
    </w:p>
    <w:p>
      <w:pPr>
        <w:numPr>
          <w:numId w:val="1006"/>
          <w:ilvl w:val="0"/>
        </w:numPr>
      </w:pPr>
      <w:r>
        <w:t xml:space="preserve">Existen evidencias que sugieren que muchos bosques son vulnerables a eventos climáticos extremos … (Zhang) y esto puede ser especialmente relevante para especies situadas en el rear edge (completar) …</w:t>
      </w:r>
    </w:p>
    <w:p>
      <w:r>
        <w:pict>
          <v:rect style="width:0;height:1.5pt" o:hralign="center" o:hrstd="t" o:hr="t"/>
        </w:pict>
      </w:r>
    </w:p>
    <w:p>
      <w:pPr>
        <w:pStyle w:val="FirstParagraph"/>
      </w:pPr>
      <w:r>
        <w:t xml:space="preserve">Methodological approach</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Our approach combining both methodologies to explore the resilience metrics have</w:t>
      </w:r>
    </w:p>
    <w:p>
      <w:pPr>
        <w:pStyle w:val="Textodecuerpo"/>
      </w:pPr>
      <w:r>
        <w:t xml:space="preserve">The combination of these two approach to explore the resilience of forests to drought have been recently used in a study across Iberian Peninsulsa, but</w:t>
      </w:r>
    </w:p>
    <w:p>
      <w:pPr>
        <w:pStyle w:val="Textodecuerpo"/>
      </w:pPr>
      <w:r>
        <w:t xml:space="preserve">Recently, Gazol et al. 2018 combine these two approaches to explore resilience of several iberian tree species, and encontraron …</w:t>
      </w:r>
    </w:p>
    <w:p>
      <w:pPr>
        <w:pStyle w:val="Textodecuerpo"/>
      </w:pPr>
      <w:r>
        <w:t xml:space="preserve">La vegetación es un reflejo de las condiciones ambientales, y los efectos de la sequía en la vegetación se pueden ver tanto con información de satélite (hablar del browning), como con información mas de campo (hablar aquí de lo del BAI).</w:t>
      </w:r>
    </w:p>
    <w:p>
      <w:pPr>
        <w:pStyle w:val="Textodecuerpo"/>
      </w:pPr>
      <w:r>
        <w:t xml:space="preserve">La combinación de metodologías que hemos empleado para evaluar la resiliencia de la vegetación frente a los eventos de sequía</w:t>
      </w:r>
    </w:p>
    <w:p>
      <w:pPr>
        <w:pStyle w:val="Textodecuerpo"/>
      </w:pP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Exiten trabajos que han utilizado remote-sensing o la dendrochronology para analizar los efectos de las sequías sobre la vegetación a diferentes escalas espaciales y temporales ( ). Asimismo, algunos otros trabajos han utilizado conjuntamente estas dos metodologias, y han visto que existe de forma general una relación</w:t>
      </w:r>
      <w:r>
        <w:t xml:space="preserve"> </w:t>
      </w:r>
      <w:r>
        <w:t xml:space="preserve">a positive relationship between vegetation indices derived from remote sensing and annual tree growth</w:t>
      </w:r>
      <w:r>
        <w:t xml:space="preserve"> </w:t>
      </w:r>
      <w:r>
        <w:t xml:space="preserve">(Vicente-Serrano et al. 2016, Bhuyan et al. 2017b)</w:t>
      </w:r>
      <w:r>
        <w:t xml:space="preserve">,</w:t>
      </w:r>
    </w:p>
    <w:p>
      <w:pPr>
        <w:pStyle w:val="Textodecuerpo"/>
      </w:pPr>
      <w:r>
        <w:t xml:space="preserve">In general, a positive relationship between NDVI in the growing season and RWI was seen for many forests in our study.</w:t>
      </w:r>
    </w:p>
    <w:p>
      <w:pPr>
        <w:pStyle w:val="Textodecuerpo"/>
      </w:pPr>
      <w:r>
        <w:t xml:space="preserve">Positive relationship between inter-annual NDVI variability and annual tree growth</w:t>
      </w:r>
      <w:r>
        <w:t xml:space="preserve"> </w:t>
      </w:r>
      <w:r>
        <w:t xml:space="preserve">(Vicente-Serrano et al. 2016)</w:t>
      </w:r>
    </w:p>
    <w:p>
      <w:pPr>
        <w:pStyle w:val="Textodecuerpo"/>
      </w:pPr>
      <w:r>
        <w:t xml:space="preserve">Esta relación positiva también la encuentra</w:t>
      </w:r>
    </w:p>
    <w:p>
      <w:pPr>
        <w:pStyle w:val="Compact"/>
        <w:numPr>
          <w:numId w:val="1007"/>
          <w:ilvl w:val="0"/>
        </w:numPr>
      </w:pPr>
      <w:r>
        <w:t xml:space="preserve">Diferencias que hemos detectado usando RS y RWI (en resiliencias)</w:t>
      </w:r>
    </w:p>
    <w:p>
      <w:pPr>
        <w:pStyle w:val="Compact"/>
        <w:numPr>
          <w:numId w:val="1007"/>
          <w:ilvl w:val="0"/>
        </w:numPr>
      </w:pPr>
      <w:r>
        <w:t xml:space="preserve">Relacionar con datos de Gazol et al. 2018</w:t>
      </w:r>
    </w:p>
    <w:p>
      <w:pPr>
        <w:pStyle w:val="FirstParagraph"/>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tulo2"/>
      </w:pPr>
      <w:bookmarkStart w:id="58" w:name="de-forma-generica-y-para-el-rear-edge"/>
      <w:bookmarkEnd w:id="58"/>
      <w:r>
        <w:t xml:space="preserve">De forma genérica y para el rear-edge</w:t>
      </w:r>
    </w:p>
    <w:p>
      <w:pPr>
        <w:numPr>
          <w:numId w:val="1008"/>
          <w:ilvl w:val="0"/>
        </w:numPr>
      </w:pPr>
      <w:r>
        <w:t xml:space="preserve">Los estudios sobre poblaciones localizadas en el rear-edge de su distribución requieren de aproximaciones multidisciplinares…</w:t>
      </w:r>
    </w:p>
    <w:p>
      <w:pPr>
        <w:numPr>
          <w:numId w:val="1008"/>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tulo2"/>
      </w:pPr>
      <w:bookmarkStart w:id="59" w:name="sensibilidades-diferentes-de-cada-metodologia"/>
      <w:bookmarkEnd w:id="59"/>
      <w:r>
        <w:t xml:space="preserve">Sensibilidades diferentes de cada metodología</w:t>
      </w:r>
    </w:p>
    <w:p>
      <w:pPr>
        <w:pStyle w:val="Compact"/>
        <w:numPr>
          <w:numId w:val="1009"/>
          <w:ilvl w:val="0"/>
        </w:numPr>
      </w:pPr>
      <w:r>
        <w:t xml:space="preserve">Cada metodología muestra distinta sensibilidad</w:t>
      </w:r>
    </w:p>
    <w:p>
      <w:pPr>
        <w:pStyle w:val="Compact"/>
        <w:numPr>
          <w:numId w:val="1010"/>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pStyle w:val="Compact"/>
        <w:numPr>
          <w:numId w:val="1009"/>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pStyle w:val="FirstParagraph"/>
      </w:pPr>
      <w:r>
        <w:t xml:space="preserve">end VALID</w:t>
      </w:r>
    </w:p>
    <w:p>
      <w:pPr>
        <w:pStyle w:val="Compact"/>
        <w:numPr>
          <w:numId w:val="1011"/>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FirstParagraph"/>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3"/>
      </w:pPr>
      <w:bookmarkStart w:id="60" w:name="estudios-que-utilizan-rs-y-tr"/>
      <w:bookmarkEnd w:id="60"/>
      <w:r>
        <w:t xml:space="preserve">Estudios que utilizan RS y TR</w:t>
      </w:r>
    </w:p>
    <w:p>
      <w:pPr>
        <w:pStyle w:val="Compact"/>
        <w:numPr>
          <w:numId w:val="1012"/>
          <w:ilvl w:val="0"/>
        </w:numPr>
      </w:pPr>
      <w:r>
        <w:t xml:space="preserve">Wu et al. 2017.</w:t>
      </w:r>
    </w:p>
    <w:p>
      <w:pPr>
        <w:numPr>
          <w:numId w:val="1013"/>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3"/>
          <w:ilvl w:val="1"/>
        </w:numPr>
      </w:pPr>
      <w:r>
        <w:t xml:space="preserve">Además vieron que los bosques mostraron una stronger drought resilience in forest (i.e. smaller growth reduction after severe drought) (Gazol el al. 2017; Wu et al. 2017).</w:t>
      </w:r>
    </w:p>
    <w:p>
      <w:pPr>
        <w:numPr>
          <w:numId w:val="1013"/>
          <w:ilvl w:val="1"/>
        </w:numPr>
      </w:pPr>
      <w:r>
        <w:t xml:space="preserve">Esto se puede deber a que acceden a reservas de agua mas profundas (los pastos y los matorrales no pueden acceder a ese agua)</w:t>
      </w:r>
    </w:p>
    <w:p>
      <w:pPr>
        <w:pStyle w:val="Ttulo3"/>
      </w:pPr>
      <w:bookmarkStart w:id="61" w:name="section"/>
      <w:bookmarkEnd w:id="61"/>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2"/>
      </w:pPr>
      <w:bookmarkStart w:id="62" w:name="section-1"/>
      <w:bookmarkEnd w:id="62"/>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63" w:name="references"/>
      <w:bookmarkEnd w:id="63"/>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Catastro. 1752.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L. Akhmetzyanov, and A. Menzel. 2017. Climate threats on growth of rear-edge european beech peripheral populations in spain. International Journal of Biometeorology 61:2097–2110.</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Eilmann, B., and A. Rigling. 2012. Tree-growth analyses to estimate tree species’ drought tolerance. Tree Physiology 32:178–187.</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Jiménez-Olivencia, Y., L. Porcel, and A. Caballero. 2015. Medio siglo en la evolución de los paisajes naturales y agrarios de sierra nevada (españa). Boletín de la Asociación de Geógrafos Españoles 68:205–232.</w:t>
      </w:r>
    </w:p>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Maestre, A. 1858. Memoria sobre los criaderos de biubmineral de sierra nevada en el término municipal de güejar-sierra, provincia de granada. Boletín del Ministerio de Fomento XXVIII:371–377.</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Martín-Civantos, J. M. 2014. Mountainous landscape domestication. management of non-cultivated productive areas in sierra nevada (granada-almeria, spain). European Journal of Post-Classical Archaeologies 4:99–130.</w:t>
      </w:r>
    </w:p>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Prieto, P. 1975. Los bosques de sierra nevada. Anales Instituto Botanica Cavanilles 32:1099–1129.</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(n.d.).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and C. Azorin‐Molina. 2014a. Diverse responses of forest growth to drought time‐scales in the northern hemisphere. Global Ecology and Biogeography 23:1019–1030.</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d0297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f298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e46dfa2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2" Target="http://onlinelibrary.wiley.com/doi/10.1111/gcb.13627/full" TargetMode="External" /><Relationship Type="http://schemas.openxmlformats.org/officeDocument/2006/relationships/hyperlink" Id="rId51"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0" Target="https://link.springer.com/article/10.1007/s10342-016-0982-7?wt_mc=Internal.Event.1.SEM.ArticleAuthorOnlineFirst" TargetMode="External" /><Relationship Type="http://schemas.openxmlformats.org/officeDocument/2006/relationships/hyperlink" Id="rId57" Target="https://www.sciencedirect.com/science/article/pii/S016819231100253X#fig0020" TargetMode="External" /><Relationship Type="http://schemas.openxmlformats.org/officeDocument/2006/relationships/hyperlink" Id="rId56" Target="https://www.sciencedirect.com/science/article/pii/S030147971400379X?via%3Dihub"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2" Target="http://onlinelibrary.wiley.com/doi/10.1111/gcb.13627/full" TargetMode="External" /><Relationship Type="http://schemas.openxmlformats.org/officeDocument/2006/relationships/hyperlink" Id="rId51"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0" Target="https://link.springer.com/article/10.1007/s10342-016-0982-7?wt_mc=Internal.Event.1.SEM.ArticleAuthorOnlineFirst" TargetMode="External" /><Relationship Type="http://schemas.openxmlformats.org/officeDocument/2006/relationships/hyperlink" Id="rId57" Target="https://www.sciencedirect.com/science/article/pii/S016819231100253X#fig0020" TargetMode="External" /><Relationship Type="http://schemas.openxmlformats.org/officeDocument/2006/relationships/hyperlink" Id="rId56" Target="https://www.sciencedirect.com/science/article/pii/S030147971400379X?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2018-05-16T12:38:44Z</dcterms:created>
  <dcterms:modified xsi:type="dcterms:W3CDTF">2018-05-16T12:38:44Z</dcterms:modified>
</cp:coreProperties>
</file>