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Ttulo3"/>
      </w:pPr>
      <w:bookmarkStart w:id="22" w:name="sequias"/>
      <w:bookmarkEnd w:id="22"/>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Además las proyecciones apuntan a que este incremento en la frecuencia continuará</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lockText"/>
      </w:pPr>
      <w:r>
        <w:t xml:space="preserve">notas sequia</w:t>
      </w:r>
    </w:p>
    <w:p>
      <w:pPr>
        <w:pStyle w:val="Compact"/>
        <w:pStyle w:val="BlockText"/>
        <w:numPr>
          <w:numId w:val="1002"/>
          <w:ilvl w:val="0"/>
        </w:numPr>
      </w:pPr>
      <w:r>
        <w:t xml:space="preserve">the drought events have been longest and most severe in the period 1991-2010 for mediterranean are of Southern Europe</w:t>
      </w:r>
      <w:r>
        <w:br w:type="textWrapping"/>
      </w:r>
    </w:p>
    <w:p>
      <w:pPr>
        <w:pStyle w:val="Compact"/>
        <w:pStyle w:val="BlockText"/>
        <w:numPr>
          <w:numId w:val="1002"/>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Ttulo3"/>
      </w:pPr>
      <w:bookmarkStart w:id="23" w:name="extreme-sequias-y-ecologia"/>
      <w:bookmarkEnd w:id="23"/>
      <w:r>
        <w:t xml:space="preserve"> Extreme sequias y ecologia</w:t>
      </w:r>
    </w:p>
    <w:p>
      <w:pPr>
        <w:pStyle w:val="Compact"/>
        <w:numPr>
          <w:numId w:val="1003"/>
          <w:ilvl w:val="0"/>
        </w:numPr>
      </w:pPr>
      <w:r>
        <w:t xml:space="preserve">ojo hablar de que la sequía es un proceso natural, pero que se está viendo aumentado en los últimos años:</w:t>
      </w:r>
    </w:p>
    <w:p>
      <w:pPr>
        <w:pStyle w:val="FirstParagraph"/>
      </w:pPr>
      <w:r>
        <w:t xml:space="preserve">Drought is a natural phenomenon that occurs when water availability is significantly below normal levels over a long period and the supply cannot meet the existing demand.</w:t>
      </w:r>
    </w:p>
    <w:p>
      <w:pPr>
        <w:pStyle w:val="BlockText"/>
      </w:pPr>
      <w:r>
        <w:t xml:space="preserve">ver intro Ecosphere:</w:t>
      </w:r>
      <w:r>
        <w:t xml:space="preserve"> </w:t>
      </w:r>
      <w:r>
        <w:t xml:space="preserve">Drought affects ecological systems across every climatic zone worldwide and is exacerbated by climate change and increasing anthropogenic water demands (Mishra and Singh 2010). Characterized by below-normal precipitation (Dai 2011), meteorological drought results from complex interactions between the atmosphere and hydrologic processes within the biosphere. Unlike aridity, which is a permanent feature of climate (Wilhite 1992), drought is a temporary extreme event (Palmer 1965, Mishra and Singh 2010) that can persist for extended time periods (months to years; Mishra and Singh 2010). Drought can cause significant changes in ecosystem productivity and water dynamics, and it is one of the most economically and ecologically disruptive extreme events affecting millions of people globally (Dai 2011).</w:t>
      </w:r>
    </w:p>
    <w:p>
      <w:pPr>
        <w:pStyle w:val="FirstParagraph"/>
      </w:pPr>
      <w:r>
        <w:t xml:space="preserve">Extreme climate events (e.g. droughts) severely affect forests and grasslands throuhg changes in plant physiology, phenology and carbon allocation</w:t>
      </w:r>
      <w:r>
        <w:t xml:space="preserve"> </w:t>
      </w:r>
      <w:r>
        <w:t xml:space="preserve">(Ummenhofer and Meehl 2017)</w:t>
      </w:r>
      <w:r>
        <w:t xml:space="preserve"> </w:t>
      </w:r>
      <w:r>
        <w:t xml:space="preserve">(incluir citas para los efectos de la sequía sobre la vegetación).</w:t>
      </w:r>
    </w:p>
    <w:p>
      <w:pPr>
        <w:pStyle w:val="Textodecuerpo"/>
      </w:pPr>
      <w:r>
        <w:t xml:space="preserve">No solo efectos aislados, sino también en conjunción con otros factores, sobre todo en el mediterráneo donde convergen muchos de los factores que pueden interaccionar:</w:t>
      </w:r>
    </w:p>
    <w:p>
      <w:pPr>
        <w:pStyle w:val="Compact"/>
        <w:numPr>
          <w:numId w:val="1004"/>
          <w:ilvl w:val="0"/>
        </w:numPr>
      </w:pPr>
      <w:r>
        <w:t xml:space="preserve">La sequía es un factor crucial a tener en cuenta, ya que es además de los efectos que puede tener de forma aislada, se ha visto que además presenta muchas interacciones con otros factores, siendo por tanto un factor crucial (</w:t>
      </w:r>
      <w:r>
        <w:rPr>
          <w:rStyle w:val="VerbatimChar"/>
        </w:rPr>
        <w:t xml:space="preserve">$IMPROVE$</w:t>
      </w:r>
      <w:r>
        <w:t xml:space="preserve"> </w:t>
      </w:r>
      <w:r>
        <w:t xml:space="preserve">ver</w:t>
      </w:r>
      <w:r>
        <w:t xml:space="preserve"> </w:t>
      </w:r>
      <w:r>
        <w:t xml:space="preserve">(Doblas-Miranda et al. 2017)</w:t>
      </w:r>
      <w:r>
        <w:t xml:space="preserve">):</w:t>
      </w:r>
    </w:p>
    <w:p>
      <w:pPr>
        <w:pStyle w:val="Compact"/>
        <w:numPr>
          <w:numId w:val="1004"/>
          <w:ilvl w:val="0"/>
        </w:numPr>
      </w:pPr>
      <w:r>
        <w:t xml:space="preserve">Some interactions alter the effects of a single factor, as drought enhances or decreases the effects of atmospheric components on plant ecophysiology</w:t>
      </w:r>
    </w:p>
    <w:p>
      <w:pPr>
        <w:pStyle w:val="Compact"/>
        <w:numPr>
          <w:numId w:val="1004"/>
          <w:ilvl w:val="0"/>
        </w:numPr>
      </w:pPr>
      <w:r>
        <w:t xml:space="preserve">Drought and land use changes, among others, alter water resources and lead to land degradation, vegetation regeneration decline, and expansion of forest diseases.</w:t>
      </w:r>
    </w:p>
    <w:p>
      <w:pPr>
        <w:pStyle w:val="Compact"/>
        <w:numPr>
          <w:numId w:val="1004"/>
          <w:ilvl w:val="0"/>
        </w:numPr>
      </w:pPr>
      <w:r>
        <w:t xml:space="preserve">Climate change, and especially drought, emerges as a crucial factor in most of the reviewed interactions and therefore it should be considered when it comes to designing and applying international management policies</w:t>
      </w:r>
    </w:p>
    <w:p>
      <w:pPr>
        <w:pStyle w:val="Compact"/>
        <w:numPr>
          <w:numId w:val="1004"/>
          <w:ilvl w:val="0"/>
        </w:numPr>
      </w:pPr>
      <w:r>
        <w:t xml:space="preserve">Drought should be considered when designing and applying management policies.</w:t>
      </w:r>
    </w:p>
    <w:p>
      <w:pPr>
        <w:pStyle w:val="FirstParagraph"/>
      </w:pPr>
      <w:r>
        <w:t xml:space="preserve">Además la sequía se espera que tengan …Droughts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 Así por ejemplo se ha visto que todos los biomas presentan una vulnerabilidad similar …</w:t>
      </w:r>
      <w:r>
        <w:t xml:space="preserve"> </w:t>
      </w:r>
      <w:r>
        <w:t xml:space="preserve">En una revision sobre la vulnerabilidad del sistema de trasnporte en plantas al embolismo inducido por sequía, ha mostrado que una convergencia de la vulnerabilidad de los bosques a la sequía, mostrando que todos los biomas son igualmente vulnerables a los fallos hidráulicos independientemente del régimen de precipitación (Choat et al. 2012,</w:t>
      </w:r>
      <w:r>
        <w:t xml:space="preserve"> </w:t>
      </w:r>
      <w:hyperlink r:id="rId24">
        <w:r>
          <w:rPr>
            <w:rStyle w:val="Hipervnculo"/>
          </w:rPr>
          <w:t xml:space="preserve">doi:10.1038/nature11688</w:t>
        </w:r>
      </w:hyperlink>
      <w:r>
        <w:t xml:space="preserve">)</w:t>
      </w:r>
    </w:p>
    <w:p>
      <w:pPr>
        <w:pStyle w:val="Textodecuerpo"/>
      </w:pPr>
      <w:r>
        <w:t xml:space="preserve">– Existen evidencias que sugieren que muchos bosques son vulnerables a eventos climáticos extremos … (Zhang) y esto puede ser especialmente relevante para especies situadas en el rear edge (completar)</w:t>
      </w:r>
    </w:p>
    <w:p>
      <w:pPr>
        <w:pStyle w:val="Textodecuerpo"/>
      </w:pPr>
      <w:r>
        <w:t xml:space="preserve">Una vez dicho esto…</w:t>
      </w:r>
    </w:p>
    <w:p>
      <w:pPr>
        <w:pStyle w:val="Compact"/>
        <w:numPr>
          <w:numId w:val="1005"/>
          <w:ilvl w:val="0"/>
        </w:numPr>
      </w:pPr>
      <w:r>
        <w:t xml:space="preserve">Como la dendro ayuda a evaluar las sequías (ver Gazol 2017)</w:t>
      </w:r>
    </w:p>
    <w:p>
      <w:pPr>
        <w:numPr>
          <w:numId w:val="1005"/>
          <w:ilvl w:val="0"/>
        </w:numPr>
      </w:pPr>
      <w:r>
        <w:t xml:space="preserve">Remote sensing:</w:t>
      </w:r>
    </w:p>
    <w:p>
      <w:pPr>
        <w:pStyle w:val="Compact"/>
        <w:numPr>
          <w:numId w:val="1006"/>
          <w:ilvl w:val="1"/>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6"/>
          <w:ilvl w:val="1"/>
        </w:numPr>
      </w:pPr>
      <w:r>
        <w:t xml:space="preserve">Leer también a</w:t>
      </w:r>
      <w:r>
        <w:t xml:space="preserve"> </w:t>
      </w:r>
      <w:r>
        <w:t xml:space="preserve">AghaKouchak et al. (2015)</w:t>
      </w:r>
    </w:p>
    <w:p>
      <w:pPr>
        <w:pStyle w:val="FirstParagraph"/>
      </w:pPr>
      <w:r>
        <w:t xml:space="preserve">Climate change projections indicate that extreme events will become more common in the future (IPCC 2013), making it important that we understand how ecosystems respond to these events and the potential feedbacks to radiative forcing.</w:t>
      </w:r>
    </w:p>
    <w:p>
      <w:pPr>
        <w:pStyle w:val="Ttulo3"/>
      </w:pPr>
      <w:bookmarkStart w:id="25" w:name="section"/>
      <w:bookmarkEnd w:id="25"/>
    </w:p>
    <w:p>
      <w:pPr>
        <w:pStyle w:val="FirstParagraph"/>
      </w:pPr>
      <w:r>
        <w:t xml:space="preserve">Uso de NDVI como estimador de la NPP:</w:t>
      </w:r>
    </w:p>
    <w:p>
      <w:pPr>
        <w:numPr>
          <w:numId w:val="1007"/>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7"/>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8"/>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8"/>
          <w:ilvl w:val="0"/>
        </w:numPr>
      </w:pPr>
      <w:r>
        <w:t xml:space="preserve">to analyze the resilience of these forests to sucessive extrme drought events,</w:t>
      </w:r>
    </w:p>
    <w:p>
      <w:pPr>
        <w:numPr>
          <w:numId w:val="1008"/>
          <w:ilvl w:val="0"/>
        </w:numPr>
      </w:pPr>
      <w:r>
        <w:t xml:space="preserve">and to explore differences in the resilience metrics between populations located in contrasting slopes within the rear edge of the distribution of this species.</w:t>
      </w:r>
    </w:p>
    <w:p>
      <w:pPr>
        <w:pStyle w:val="FirstParagraph"/>
      </w:pPr>
      <w:r>
        <w:t xml:space="preserve">Do northern and southern populations of Pyrenean oak forests differ in their resistance, resilience or recovery to extreme drought events?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9"/>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w:t>
      </w:r>
      <w:r>
        <w:t xml:space="preserve"> </w:t>
      </w:r>
      <w:r>
        <w:t xml:space="preserve">“</w:t>
      </w:r>
      <w:r>
        <w:t xml:space="preserve">Vulnerable</w:t>
      </w:r>
      <w:r>
        <w:t xml:space="preserve">”</w:t>
      </w:r>
      <w:r>
        <w:t xml:space="preserve"> </w:t>
      </w:r>
      <w:r>
        <w:t xml:space="preserve">(Vivero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10"/>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MODIS EVI Data from Collection 6 were obtanied using Google Earth Engine platform for the period 2000 - 2016. A data filtering was applied to select EVI valid values. The filtering was done using quality flags and VI Usefulness Indices accompanying the EVI data. We filter out those values affected by high content of aerosols, clouds, shadows, snow or water.</w:t>
      </w:r>
    </w:p>
    <w:p>
      <w:pPr>
        <w:pStyle w:val="Textodecuerpo"/>
      </w:pPr>
      <w:r>
        <w:t xml:space="preserve">Each 1 × 1 km2 16-day composite EVI value is considered valid when (a) EVI data is produced—</w:t>
      </w:r>
      <w:r>
        <w:t xml:space="preserve">‘</w:t>
      </w:r>
      <w:r>
        <w:t xml:space="preserve">MODLAND_QA</w:t>
      </w:r>
      <w:r>
        <w:t xml:space="preserve">’</w:t>
      </w:r>
      <w:r>
        <w:t xml:space="preserve"> </w:t>
      </w:r>
      <w:r>
        <w:t xml:space="preserve">equals 0 (good quality) or 1 (check other QA), (b) VI usefulness is between 0 and 11, (c) clouds are absent—</w:t>
      </w:r>
      <w:r>
        <w:t xml:space="preserve">‘</w:t>
      </w:r>
      <w:r>
        <w:t xml:space="preserve">adjacent cloud detected</w:t>
      </w:r>
      <w:r>
        <w:t xml:space="preserve">’</w:t>
      </w:r>
      <w:r>
        <w:t xml:space="preserve"> </w:t>
      </w:r>
      <w:r>
        <w:t xml:space="preserve">(0),</w:t>
      </w:r>
      <w:r>
        <w:t xml:space="preserve"> </w:t>
      </w:r>
      <w:r>
        <w:t xml:space="preserve">‘</w:t>
      </w:r>
      <w:r>
        <w:t xml:space="preserve">mixed clouds</w:t>
      </w:r>
      <w:r>
        <w:t xml:space="preserve">’</w:t>
      </w:r>
      <w:r>
        <w:t xml:space="preserve"> </w:t>
      </w:r>
      <w:r>
        <w:t xml:space="preserve">(0) and</w:t>
      </w:r>
      <w:r>
        <w:t xml:space="preserve"> </w:t>
      </w:r>
      <w:r>
        <w:t xml:space="preserve">‘</w:t>
      </w:r>
      <w:r>
        <w:t xml:space="preserve">possible shadow</w:t>
      </w:r>
      <w:r>
        <w:t xml:space="preserve">’</w:t>
      </w:r>
      <w:r>
        <w:t xml:space="preserve"> </w:t>
      </w:r>
      <w:r>
        <w:t xml:space="preserve">(0), and (d) aerosol content is low or average—</w:t>
      </w:r>
      <w:r>
        <w:t xml:space="preserve">‘</w:t>
      </w:r>
      <w:r>
        <w:t xml:space="preserve">aerosol quantity</w:t>
      </w:r>
      <w:r>
        <w:t xml:space="preserve">’</w:t>
      </w:r>
      <w:r>
        <w:t xml:space="preserve"> </w:t>
      </w:r>
      <w:r>
        <w:t xml:space="preserve">(1 or 2). Note that</w:t>
      </w:r>
      <w:r>
        <w:t xml:space="preserve"> </w:t>
      </w:r>
      <w:r>
        <w:t xml:space="preserve">‘</w:t>
      </w:r>
      <w:r>
        <w:t xml:space="preserve">MODLAND_QA</w:t>
      </w:r>
      <w:r>
        <w:t xml:space="preserve">’</w:t>
      </w:r>
      <w:r>
        <w:t xml:space="preserve"> </w:t>
      </w:r>
      <w:r>
        <w:t xml:space="preserve">checks whether EVI is produced or not, and if produced, its quality is good or whether other quality flags should also be checked. Besides, VI usefulness indices between 0 to 11 essentially include all EVI data. Thus, these two conditions serve as additional checks.</w:t>
      </w:r>
    </w:p>
    <w:p>
      <w:pPr>
        <w:pStyle w:val="Textodecuerpo"/>
      </w:pPr>
      <w:r>
        <w:t xml:space="preserve">and then a quality assessment was carried out to filter the …</w:t>
      </w:r>
      <w:r>
        <w:t xml:space="preserve"> </w:t>
      </w:r>
      <w:r>
        <w:t xml:space="preserve">(Reyes-Díez et al. 2015)</w:t>
      </w:r>
    </w:p>
    <w:p>
      <w:pPr>
        <w:pStyle w:val="SourceCode"/>
      </w:pPr>
      <w:r>
        <w:rPr>
          <w:rStyle w:val="VerbatimChar"/>
        </w:rPr>
        <w:t xml:space="preserve">* According to @Reyes2015 we must consider the shadow in the mountain, but we can discard the filter of adjacent clouds. On the other hand, the use of EVI mean is highly stable under the use of any filter [@Reyes2015]</w:t>
      </w:r>
    </w:p>
    <w:p>
      <w:pPr>
        <w:pStyle w:val="FirstParagraph"/>
      </w:pPr>
      <w:r>
        <w:t xml:space="preserve">The presence of clouds (adjacent clouds, mixed clouds and shadows)</w:t>
      </w:r>
      <w:r>
        <w:t xml:space="preserve"> </w:t>
      </w:r>
      <w:r>
        <w:t xml:space="preserve">‘</w:t>
      </w:r>
      <w:r>
        <w:t xml:space="preserve">obscures</w:t>
      </w:r>
      <w:r>
        <w:t xml:space="preserve">’</w:t>
      </w:r>
      <w:r>
        <w:t xml:space="preserve"> </w:t>
      </w:r>
      <w:r>
        <w:t xml:space="preserve">the surface in a radiometric sense, thus corrupting inferred EVI values. In addition, two types of aerosol loadings typically corrupt EVI—climatology and high aerosols. Use of aerosol climatology</w:t>
      </w:r>
    </w:p>
    <w:p>
      <w:pPr>
        <w:pStyle w:val="Textodecuerpo"/>
      </w:pPr>
      <w:r>
        <w:t xml:space="preserve">The EVI data are geometrically and atmospherically corrected and include information about the quality ass….</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OJITO———- reescribir esto de arriba</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1"/>
          <w:ilvl w:val="0"/>
        </w:numPr>
      </w:pPr>
      <w:r>
        <w:t xml:space="preserve">Información contenida en banda QA.</w:t>
      </w:r>
    </w:p>
    <w:p>
      <w:pPr>
        <w:pStyle w:val="Compact"/>
        <w:numPr>
          <w:numId w:val="1012"/>
          <w:ilvl w:val="1"/>
        </w:numPr>
      </w:pPr>
      <w:r>
        <w:t xml:space="preserve">Nos quedamos con pixeles marcados como Good Data (57.89 %)</w:t>
      </w:r>
    </w:p>
    <w:p>
      <w:pPr>
        <w:pStyle w:val="Compact"/>
        <w:numPr>
          <w:numId w:val="1012"/>
          <w:ilvl w:val="1"/>
        </w:numPr>
      </w:pPr>
      <w:r>
        <w:t xml:space="preserve">Filter out los marcados como Snow/Ice y/o Cloudy (2.57 + 7.08 = 9.65 %)</w:t>
      </w:r>
    </w:p>
    <w:p>
      <w:pPr>
        <w:pStyle w:val="Compact"/>
        <w:numPr>
          <w:numId w:val="1012"/>
          <w:ilvl w:val="1"/>
        </w:numPr>
      </w:pPr>
      <w:r>
        <w:t xml:space="preserve">Pixeles marcados como Marginal Data (32.33 %) (ver siguiente paso)</w:t>
      </w:r>
    </w:p>
    <w:p>
      <w:pPr>
        <w:numPr>
          <w:numId w:val="1011"/>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3"/>
          <w:ilvl w:val="1"/>
        </w:numPr>
      </w:pPr>
      <w:r>
        <w:t xml:space="preserve">Vemos los composites marcados con Aerosoles, Adjacent cluods, y Shadow.</w:t>
      </w:r>
      <w:r>
        <w:br w:type="textWrapping"/>
      </w:r>
    </w:p>
    <w:p>
      <w:pPr>
        <w:pStyle w:val="Compact"/>
        <w:numPr>
          <w:numId w:val="1013"/>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1"/>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extodecuerpo"/>
      </w:pPr>
      <w:r>
        <w:t xml:space="preserve">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Samplig was carried during autumn of 2016. Trees were sampled at two locations in contrasting slopes of Sierra Nevada: San Juan (SJ; northern site) and Cáñar (CA; southern site) (Figure 1; Table 1). Two elevations were sampled for the southern site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heith (1.3 m) using an increment borer. For each tree, diameter at breat height (DBH) and total height were recorded. Increment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Ttulo2"/>
      </w:pPr>
      <w:bookmarkStart w:id="37" w:name="dendrochronological-methods"/>
      <w:bookmarkEnd w:id="37"/>
      <w:r>
        <w:t xml:space="preserve">Dendrochronological methods</w:t>
      </w:r>
    </w:p>
    <w:p>
      <w:pPr>
        <w:pStyle w:val="Compact"/>
        <w:numPr>
          <w:numId w:val="1014"/>
          <w:ilvl w:val="0"/>
        </w:numPr>
      </w:pPr>
      <w:r>
        <w:t xml:space="preserve">incluir citas a Frits; Cooks …</w:t>
      </w:r>
    </w:p>
    <w:p>
      <w:pPr>
        <w:pStyle w:val="Compact"/>
        <w:numPr>
          <w:numId w:val="1014"/>
          <w:ilvl w:val="0"/>
        </w:numPr>
      </w:pPr>
      <w:r>
        <w:t xml:space="preserve">site cronologies</w:t>
      </w:r>
    </w:p>
    <w:p>
      <w:pPr>
        <w:pStyle w:val="Compact"/>
        <w:numPr>
          <w:numId w:val="1014"/>
          <w:ilvl w:val="0"/>
        </w:numPr>
      </w:pPr>
      <w:r>
        <w:t xml:space="preserve">BAI</w:t>
      </w:r>
    </w:p>
    <w:p>
      <w:pPr>
        <w:pStyle w:val="Compact"/>
        <w:numPr>
          <w:numId w:val="1014"/>
          <w:ilvl w:val="0"/>
        </w:numPr>
      </w:pPr>
      <w:r>
        <w:t xml:space="preserve">GC Nowacki??</w:t>
      </w:r>
    </w:p>
    <w:p>
      <w:pPr>
        <w:pStyle w:val="FirstParagraph"/>
      </w:pPr>
      <w:r>
        <w:t xml:space="preserve">Site chronologies were built by averaging all tree BAI measurement of the same site. 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pStyle w:val="Ttulo2"/>
      </w:pPr>
      <w:bookmarkStart w:id="38" w:name="resilience"/>
      <w:bookmarkEnd w:id="38"/>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39" w:name="statistical-analysis"/>
      <w:bookmarkEnd w:id="39"/>
      <w:r>
        <w:t xml:space="preserve">Statistical analysis</w:t>
      </w:r>
    </w:p>
    <w:p>
      <w:pPr>
        <w:pStyle w:val="Compact"/>
        <w:numPr>
          <w:numId w:val="1015"/>
          <w:ilvl w:val="0"/>
        </w:numPr>
      </w:pPr>
      <w:r>
        <w:t xml:space="preserve">Explore anomalies EVI</w:t>
      </w:r>
    </w:p>
    <w:p>
      <w:pPr>
        <w:pStyle w:val="Compact"/>
        <w:numPr>
          <w:numId w:val="1015"/>
          <w:ilvl w:val="0"/>
        </w:numPr>
      </w:pPr>
      <w:r>
        <w:t xml:space="preserve">Explore long and short term trends in RW :red_circle: ver correo Guillermo</w:t>
      </w:r>
    </w:p>
    <w:p>
      <w:pPr>
        <w:pStyle w:val="Compact"/>
        <w:numPr>
          <w:numId w:val="1015"/>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tulo2"/>
      </w:pPr>
      <w:bookmarkStart w:id="40" w:name="references-1"/>
      <w:bookmarkEnd w:id="40"/>
      <w:r>
        <w:t xml:space="preserve">References</w:t>
      </w:r>
    </w:p>
    <w:p>
      <w:pPr>
        <w:pStyle w:val="SourceCode"/>
      </w:pPr>
      <w:r>
        <w:rPr>
          <w:rStyle w:val="VerbatimChar"/>
        </w:rPr>
        <w:t xml:space="preserve">library(tidyverse)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library(here)</w:t>
      </w:r>
    </w:p>
    <w:p>
      <w:pPr>
        <w:pStyle w:val="SourceCode"/>
      </w:pPr>
      <w:r>
        <w:rPr>
          <w:rStyle w:val="VerbatimChar"/>
        </w:rPr>
        <w:t xml:space="preserve">## here() starts at /Users/ajpelu/Dropbox/phd/phd_repos/qpyr_dendro</w:t>
      </w:r>
    </w:p>
    <w:p>
      <w:pPr>
        <w:pStyle w:val="SourceCode"/>
      </w:pPr>
      <w:r>
        <w:rPr>
          <w:rStyle w:val="VerbatimChar"/>
        </w:rPr>
        <w:t xml:space="preserve">library(pander)</w:t>
      </w:r>
      <w:r>
        <w:br w:type="textWrapping"/>
      </w:r>
      <w:r>
        <w:rPr>
          <w:rStyle w:val="VerbatimChar"/>
        </w:rPr>
        <w:t xml:space="preserve">library(kableExtra)</w:t>
      </w:r>
      <w:r>
        <w:br w:type="textWrapping"/>
      </w:r>
      <w:r>
        <w:rPr>
          <w:rStyle w:val="VerbatimChar"/>
        </w:rPr>
        <w:t xml:space="preserve">library(knitr)</w:t>
      </w:r>
    </w:p>
    <w:p>
      <w:pPr>
        <w:pStyle w:val="Ttulo1"/>
      </w:pPr>
      <w:bookmarkStart w:id="41" w:name="results"/>
      <w:bookmarkEnd w:id="41"/>
      <w:r>
        <w:t xml:space="preserve">Results</w:t>
      </w:r>
    </w:p>
    <w:p>
      <w:pPr>
        <w:pStyle w:val="Ttulo2"/>
      </w:pPr>
      <w:bookmarkStart w:id="42" w:name="vegetation-greenness"/>
      <w:bookmarkEnd w:id="42"/>
      <w:r>
        <w:t xml:space="preserve">Vegetation Greenness</w:t>
      </w:r>
    </w:p>
    <w:p>
      <w:pPr>
        <w:pStyle w:val="FirstParagraph"/>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(Fig. R1 Profile EVI). The lowest values for EVI standardized anomalies were recorded in 2005 being singnificantly lower (-2.285 ± 0.029) than 2012 (-0.418 ± 0.029) (LSMEANS, t.ratio = -45.358; p_value &lt; 0.0001), particularly for northern populations (Fig. R2 y R3).</w:t>
      </w:r>
    </w:p>
    <w:p>
      <w:pPr>
        <w:pStyle w:val="Textodecuerpo"/>
      </w:pPr>
      <w:r>
        <w:t xml:space="preserve">Esta disminución para 2005 sin embargo fue heterogénea (ver plot de trajectorias)</w:t>
      </w:r>
    </w:p>
    <w:p>
      <w:pPr>
        <w:pStyle w:val="Textodecuerpo"/>
      </w:pPr>
      <w:r>
        <w:t xml:space="preserve">Durante 2005 la mayoría de los pixeles mostraron browning (99.36 % y 79.37 % para las poblaciones del norte y del sur respectivamente), sin embargo en 2012 la mayoría de los pixeles se clasificaron como no changes en las poblaciones del norte (89.60 %) y en las del sur (70.07 %) (Tabla supplementaria??)</w:t>
      </w:r>
    </w:p>
    <w:p>
      <w:pPr>
        <w:pStyle w:val="Compact"/>
        <w:numPr>
          <w:numId w:val="1016"/>
          <w:ilvl w:val="0"/>
        </w:numPr>
      </w:pPr>
      <w:r>
        <w:t xml:space="preserve">Si atendemos a las sa (standardized anomalíes) y aplicamos el criterio de Gao, podemos decir que en 2005 se observó un bronwing en los bosques de Q. pyrenaica, sobre todo en las situadas en el northern slopes.</w:t>
      </w:r>
    </w:p>
    <w:p>
      <w:pPr>
        <w:pStyle w:val="Ttulo4"/>
      </w:pPr>
      <w:bookmarkStart w:id="43" w:name="temporal-trend-evi-values"/>
      <w:bookmarkEnd w:id="43"/>
      <w:r>
        <w:t xml:space="preserve"> Temporal trend EVI values</w:t>
      </w:r>
    </w:p>
    <w:p>
      <w:pPr>
        <w:pStyle w:val="FirstParagraph"/>
      </w:pPr>
      <w:r>
        <w:t xml:space="preserve">El 78.95 % de los pixeles mostraron una tendencia positiva en cuanto al EVI medio anual (siendo significativa para el 31.67 % de los pixeles). Esta tendencia positiva fué sobre todo mayor en algunas de las poblaciones del suroeste. La</w:t>
      </w:r>
    </w:p>
    <w:p>
      <w:pPr>
        <w:pStyle w:val="Textodecuerpo"/>
      </w:pPr>
      <w:r>
        <w:t xml:space="preserve">–&gt; referencia a las tendencias en EVI (lo hemos vuelto a calcular y además en el trabajo de ontologías también nos sale)</w:t>
      </w:r>
    </w:p>
    <w:p>
      <w:pPr>
        <w:pStyle w:val="Textodecuerpo"/>
      </w:pPr>
      <w:r>
        <w:t xml:space="preserve">Aproximadamete el x% de los robledales mostraron un incremento en los valores de productividad (greenees) … (relacionar con tendencias EVI y ontologias).</w:t>
      </w:r>
    </w:p>
    <w:p>
      <w:pPr>
        <w:pStyle w:val="Textodecuerpo"/>
      </w:pPr>
      <w:r>
        <w:t xml:space="preserve">Si analizamos el plot de trajectorias (evi medio anual), vemos como en 2005 y 2012 se observó un browning para los valores medios de EVI. En ambos casos, se observó un patrón homogéneo de browing, aunque en 2012 el browning fue mucho menor.</w:t>
      </w:r>
    </w:p>
    <w:p>
      <w:pPr>
        <w:pStyle w:val="Ttulo4"/>
      </w:pPr>
      <w:bookmarkStart w:id="44" w:name="resilience-metrics-evi"/>
      <w:bookmarkEnd w:id="44"/>
      <w:r>
        <w:t xml:space="preserve">Resilience metrics EVI</w:t>
      </w:r>
    </w:p>
    <w:p>
      <w:pPr>
        <w:pStyle w:val="FirstParagraph"/>
      </w:pPr>
      <w:r>
        <w:t xml:space="preserve">Pyrenean oak forests showed significantly lower resistance to 2005 drought event than to 2012 one [2005: 0.858 (0.853-0.863); 2012: 0.943 (0.939 - 0.947); table R1; Figura R4a, F = 799.86, p &lt;0.0001]. The 2005 drought reduced the greenness of oak to 85.8 % while the 2012 reduced 94.3 %. Southern populations showed significantly higher values of resistance to drought than northern ones, except for 2012 where non-significant differences were recorded (table R1, Figure R4a).</w:t>
      </w:r>
    </w:p>
    <w:p>
      <w:pPr>
        <w:pStyle w:val="Textodecuerpo"/>
      </w:pPr>
      <w:r>
        <w:t xml:space="preserve">The oak forests recovered their greenness more rapidly after the 2005 drought than after 2012. In the period after 2005 drought, greeness achieved was 112 % (Rc = 1.12) and after 2012 105.7 % (Rc = 1.057). A similar recovery after the 2005 and 2012 drought event was observed for southern populations (p = 0.2453; Figure R4), whilst the northern populations showed a significantly greater recovery after the 2005 drought than after the 2012 drought.</w:t>
      </w:r>
    </w:p>
    <w:p>
      <w:pPr>
        <w:pStyle w:val="Textodecuerpo"/>
      </w:pPr>
      <w:r>
        <w:t xml:space="preserve">Resilience values were significantly higher for the 2012 drought event than for 2005, although both values were close to 1 indicating that greenness level was rather similar after each disturbance event. The southern populations showed higher resilience values than the northern ones, although they were not significantly different for 2005 drought (p = 0.036).</w:t>
      </w:r>
    </w:p>
    <w:p>
      <w:pPr>
        <w:pStyle w:val="Textodecuerpo"/>
      </w:pPr>
      <w:r>
        <w:t xml:space="preserve">table R1. Robust anovas con F-Values</w:t>
      </w:r>
      <w:r>
        <w:t xml:space="preserve"> </w:t>
      </w:r>
      <w:r>
        <w:t xml:space="preserve">Figura R2. Interaction plot resilience metrics</w:t>
      </w:r>
    </w:p>
    <w:p>
      <w:pPr>
        <w:pStyle w:val="Ttulo2"/>
      </w:pPr>
      <w:bookmarkStart w:id="45" w:name="resiliencia-bai"/>
      <w:bookmarkEnd w:id="45"/>
      <w:r>
        <w:t xml:space="preserve">Resiliencia BAI</w:t>
      </w:r>
    </w:p>
    <w:p>
      <w:pPr>
        <w:pStyle w:val="FirstParagraph"/>
      </w:pPr>
      <w:r>
        <w:t xml:space="preserve">Although no significant differences were observed in the resistance of the oak growth to both drought events (F = 6.0189; p = 0.019; table R2; Figura R5), the 2005 drought reduced growth more than 2012 did (Rt = 0.721 and 0.819 respectively). Northern population showed resistance values lower than southern ones, especially for 2005 drought event where the growth was reduced to 44.5 % of the preceding period.</w:t>
      </w:r>
    </w:p>
    <w:p>
      <w:pPr>
        <w:pStyle w:val="Textodecuerpo"/>
      </w:pPr>
      <w:r>
        <w:t xml:space="preserve">Oak forests recovered their growth more rapidly after 2012 than after 2005 staying at levels of Rc &lt; 1. Norhtern populations showed signigicantly higher values of recovery than southern ones, which even not reach recovery values of Rc = 1.</w:t>
      </w:r>
    </w:p>
    <w:p>
      <w:pPr>
        <w:pStyle w:val="Textodecuerpo"/>
      </w:pPr>
      <w:r>
        <w:t xml:space="preserve">Significantly higher values of resilience of growth were observerd for the 2012 drought event than for the 2005 one. We found no differences of resilience values for growth between northern and southern populations (F = 1.31; p = 0.404). For 2005 drought event the resilience of northern population was lower than southern ones, but opposite pattern was found for the 2012 drought event, with northern population showing values greater than unity.</w:t>
      </w:r>
    </w:p>
    <w:p>
      <w:pPr>
        <w:pStyle w:val="Textodecuerpo"/>
      </w:pPr>
      <w:r>
        <w:t xml:space="preserve">notas para discusión</w:t>
      </w:r>
    </w:p>
    <w:p>
      <w:pPr>
        <w:pStyle w:val="Textodecuerpo"/>
      </w:pPr>
      <w:r>
        <w:t xml:space="preserve">En ambos casos (evi y bai) la sequía de 2005 y de 2012 redujeron el greenness y el crecimiento. Además en ambos casos la sequía de 2005 redujo mas la variable, sin embargo, para el greenness si existen diferencias entre ambos eventos de sequía, mientras que para el crecimiento no. Por tanto podemos decir que se ha reducido el greennes pero para el crecimiento esto está mas amortiguado.</w:t>
      </w:r>
    </w:p>
    <w:p>
      <w:pPr>
        <w:pStyle w:val="Textodecuerpo"/>
      </w:pPr>
      <w:r>
        <w:t xml:space="preserve">Al explorar la resistencia por sitio y drought se observa una curiosidad. La resistencia de los robledales de CaLow se mantiene casi igual. La de la cara norte (SJ) sufre mucho en 2005 y luego se recupera un poco. La de caH presenta menor resistencia en 2012 que en 2005 (y eso llama la atención)</w:t>
      </w:r>
    </w:p>
    <w:p>
      <w:pPr>
        <w:pStyle w:val="Ttulo2"/>
      </w:pPr>
      <w:bookmarkStart w:id="46" w:name="references-2"/>
      <w:bookmarkEnd w:id="46"/>
      <w:r>
        <w:t xml:space="preserve">References</w:t>
      </w:r>
    </w:p>
    <w:p>
      <w:pPr>
        <w:pStyle w:val="Ttulo1"/>
      </w:pPr>
      <w:bookmarkStart w:id="47" w:name="discussions-notes"/>
      <w:bookmarkEnd w:id="47"/>
      <w:r>
        <w:t xml:space="preserve">Discussions notes</w:t>
      </w:r>
    </w:p>
    <w:p>
      <w:pPr>
        <w:pStyle w:val="Ttulo2"/>
      </w:pPr>
      <w:bookmarkStart w:id="48" w:name="dos-cronos-en-canar"/>
      <w:bookmarkEnd w:id="48"/>
      <w:r>
        <w:t xml:space="preserve"> Dos cronos en Cañar</w:t>
      </w:r>
    </w:p>
    <w:p>
      <w:pPr>
        <w:pStyle w:val="Compact"/>
        <w:numPr>
          <w:numId w:val="1017"/>
          <w:ilvl w:val="0"/>
        </w:numPr>
      </w:pPr>
      <w:r>
        <w:t xml:space="preserve">Gea-Izquierdo and Cañellas (2014)</w:t>
      </w:r>
      <w:r>
        <w:t xml:space="preserve"> </w:t>
      </w:r>
      <w:r>
        <w:t xml:space="preserve">muestrea solo en CA-Low (QUPY10) y obtiene resultados similares a CA-Low.</w:t>
      </w:r>
    </w:p>
    <w:p>
      <w:pPr>
        <w:pStyle w:val="Compact"/>
        <w:numPr>
          <w:numId w:val="1017"/>
          <w:ilvl w:val="0"/>
        </w:numPr>
      </w:pPr>
      <w:r>
        <w:t xml:space="preserve">En tan poco espacio hay diferencias enormes entre las dos cronos</w:t>
      </w:r>
    </w:p>
    <w:p>
      <w:pPr>
        <w:pStyle w:val="Compact"/>
        <w:numPr>
          <w:numId w:val="1017"/>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49" w:name="references-3"/>
      <w:bookmarkEnd w:id="49"/>
      <w:r>
        <w:t xml:space="preserve">References</w:t>
      </w:r>
    </w:p>
    <w:p>
      <w:pPr>
        <w:pStyle w:val="Ttulo3"/>
      </w:pPr>
      <w:bookmarkStart w:id="50" w:name="table-r1"/>
      <w:bookmarkEnd w:id="50"/>
      <w:r>
        <w:t xml:space="preserve">Table R1</w:t>
      </w:r>
    </w:p>
    <w:tbl>
      <w:tblPr>
        <w:tblStyle w:val="TableNormal"/>
        <w:tblW w:type="pct" w:w="4444.444444444444"/>
        <w:tblLook w:firstRow="1"/>
      </w:tblPr>
      <w:tblGrid>
        <w:gridCol w:w="1650"/>
        <w:gridCol w:w="770"/>
        <w:gridCol w:w="660"/>
        <w:gridCol w:w="770"/>
        <w:gridCol w:w="660"/>
        <w:gridCol w:w="770"/>
        <w:gridCol w:w="66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rc</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rs</w:t>
            </w:r>
            <w:r>
              <w:t xml:space="preserve"> </w:t>
            </w:r>
            <w:r>
              <w:t xml:space="preserve">F</w:t>
            </w:r>
          </w:p>
        </w:tc>
        <w:tc>
          <w:tcPr>
            <w:tcBorders>
              <w:bottom w:val="single"/>
            </w:tcBorders>
            <w:vAlign w:val="bottom"/>
          </w:tcPr>
          <w:p>
            <w:pPr>
              <w:pStyle w:val="Compact"/>
              <w:jc w:val="center"/>
            </w:pPr>
            <w:r>
              <w:t xml:space="preserve">rs</w:t>
            </w:r>
            <w:r>
              <w:t xml:space="preserve"> </w:t>
            </w:r>
            <w:r>
              <w:t xml:space="preserve">p</w:t>
            </w:r>
          </w:p>
        </w:tc>
        <w:tc>
          <w:tcPr>
            <w:tcBorders>
              <w:bottom w:val="single"/>
            </w:tcBorders>
            <w:vAlign w:val="bottom"/>
          </w:tcPr>
          <w:p>
            <w:pPr>
              <w:pStyle w:val="Compact"/>
              <w:jc w:val="center"/>
            </w:pPr>
            <w:r>
              <w:t xml:space="preserve">rt</w:t>
            </w:r>
            <w:r>
              <w:t xml:space="preserve"> </w:t>
            </w:r>
            <w:r>
              <w:t xml:space="preserve">F</w:t>
            </w:r>
          </w:p>
        </w:tc>
        <w:tc>
          <w:tcPr>
            <w:tcBorders>
              <w:bottom w:val="single"/>
            </w:tcBorders>
            <w:vAlign w:val="bottom"/>
          </w:tcPr>
          <w:p>
            <w:pPr>
              <w:pStyle w:val="Compact"/>
              <w:jc w:val="center"/>
            </w:pPr>
            <w:r>
              <w:t xml:space="preserve">rt</w:t>
            </w:r>
            <w:r>
              <w:t xml:space="preserve"> </w:t>
            </w:r>
            <w:r>
              <w:t xml:space="preserve">p</w:t>
            </w:r>
          </w:p>
        </w:tc>
        <w:tc>
          <w:tcPr>
            <w:tcBorders>
              <w:bottom w:val="single"/>
            </w:tcBorders>
            <w:vAlign w:val="bottom"/>
          </w:tcPr>
          <w:p>
            <w:pPr>
              <w:pStyle w:val="Compact"/>
              <w:jc w:val="center"/>
            </w:pPr>
            <w:r>
              <w:t xml:space="preserve">variable</w:t>
            </w:r>
          </w:p>
        </w:tc>
      </w:tr>
      <w:tr>
        <w:tc>
          <w:p>
            <w:pPr>
              <w:pStyle w:val="Compact"/>
              <w:jc w:val="center"/>
            </w:pPr>
            <w:r>
              <w:t xml:space="preserve">Disturb</w:t>
            </w:r>
          </w:p>
        </w:tc>
        <w:tc>
          <w:p>
            <w:pPr>
              <w:pStyle w:val="Compact"/>
              <w:jc w:val="center"/>
            </w:pPr>
            <w:r>
              <w:t xml:space="preserve">29.55</w:t>
            </w:r>
          </w:p>
        </w:tc>
        <w:tc>
          <w:p>
            <w:pPr>
              <w:pStyle w:val="Compact"/>
              <w:jc w:val="center"/>
            </w:pPr>
            <w:r>
              <w:t xml:space="preserve">0.001</w:t>
            </w:r>
          </w:p>
        </w:tc>
        <w:tc>
          <w:p>
            <w:pPr>
              <w:pStyle w:val="Compact"/>
              <w:jc w:val="center"/>
            </w:pPr>
            <w:r>
              <w:t xml:space="preserve">44.31</w:t>
            </w:r>
          </w:p>
        </w:tc>
        <w:tc>
          <w:p>
            <w:pPr>
              <w:pStyle w:val="Compact"/>
              <w:jc w:val="center"/>
            </w:pPr>
            <w:r>
              <w:t xml:space="preserve">0.001</w:t>
            </w:r>
          </w:p>
        </w:tc>
        <w:tc>
          <w:p>
            <w:pPr>
              <w:pStyle w:val="Compact"/>
              <w:jc w:val="center"/>
            </w:pPr>
            <w:r>
              <w:t xml:space="preserve">6.02</w:t>
            </w:r>
          </w:p>
        </w:tc>
        <w:tc>
          <w:p>
            <w:pPr>
              <w:pStyle w:val="Compact"/>
              <w:jc w:val="center"/>
            </w:pPr>
            <w:r>
              <w:t xml:space="preserve">0.019</w:t>
            </w:r>
          </w:p>
        </w:tc>
        <w:tc>
          <w:p>
            <w:pPr>
              <w:pStyle w:val="Compact"/>
              <w:jc w:val="center"/>
            </w:pPr>
            <w:r>
              <w:t xml:space="preserve">BAI</w:t>
            </w:r>
          </w:p>
        </w:tc>
      </w:tr>
      <w:tr>
        <w:tc>
          <w:p>
            <w:pPr>
              <w:pStyle w:val="Compact"/>
              <w:jc w:val="center"/>
            </w:pPr>
            <w:r>
              <w:t xml:space="preserve">Site</w:t>
            </w:r>
          </w:p>
        </w:tc>
        <w:tc>
          <w:p>
            <w:pPr>
              <w:pStyle w:val="Compact"/>
              <w:jc w:val="center"/>
            </w:pPr>
            <w:r>
              <w:t xml:space="preserve">53.08</w:t>
            </w:r>
          </w:p>
        </w:tc>
        <w:tc>
          <w:p>
            <w:pPr>
              <w:pStyle w:val="Compact"/>
              <w:jc w:val="center"/>
            </w:pPr>
            <w:r>
              <w:t xml:space="preserve">0.001</w:t>
            </w:r>
          </w:p>
        </w:tc>
        <w:tc>
          <w:p>
            <w:pPr>
              <w:pStyle w:val="Compact"/>
              <w:jc w:val="center"/>
            </w:pPr>
            <w:r>
              <w:t xml:space="preserve">1.31</w:t>
            </w:r>
          </w:p>
        </w:tc>
        <w:tc>
          <w:p>
            <w:pPr>
              <w:pStyle w:val="Compact"/>
              <w:jc w:val="center"/>
            </w:pPr>
            <w:r>
              <w:t xml:space="preserve">0.534</w:t>
            </w:r>
          </w:p>
        </w:tc>
        <w:tc>
          <w:p>
            <w:pPr>
              <w:pStyle w:val="Compact"/>
              <w:jc w:val="center"/>
            </w:pPr>
            <w:r>
              <w:t xml:space="preserve">59.25</w:t>
            </w:r>
          </w:p>
        </w:tc>
        <w:tc>
          <w:p>
            <w:pPr>
              <w:pStyle w:val="Compact"/>
              <w:jc w:val="center"/>
            </w:pPr>
            <w:r>
              <w:t xml:space="preserve">0.001</w:t>
            </w:r>
          </w:p>
        </w:tc>
        <w:tc>
          <w:p>
            <w:pPr>
              <w:pStyle w:val="Compact"/>
              <w:jc w:val="center"/>
            </w:pPr>
            <w:r>
              <w:t xml:space="preserve">BAI</w:t>
            </w:r>
          </w:p>
        </w:tc>
      </w:tr>
      <w:tr>
        <w:tc>
          <w:p>
            <w:pPr>
              <w:pStyle w:val="Compact"/>
              <w:jc w:val="center"/>
            </w:pPr>
            <w:r>
              <w:t xml:space="preserve">Disturb X Site</w:t>
            </w:r>
          </w:p>
        </w:tc>
        <w:tc>
          <w:p>
            <w:pPr>
              <w:pStyle w:val="Compact"/>
              <w:jc w:val="center"/>
            </w:pPr>
            <w:r>
              <w:t xml:space="preserve">4.4</w:t>
            </w:r>
          </w:p>
        </w:tc>
        <w:tc>
          <w:p>
            <w:pPr>
              <w:pStyle w:val="Compact"/>
              <w:jc w:val="center"/>
            </w:pPr>
            <w:r>
              <w:t xml:space="preserve">0.134</w:t>
            </w:r>
          </w:p>
        </w:tc>
        <w:tc>
          <w:p>
            <w:pPr>
              <w:pStyle w:val="Compact"/>
              <w:jc w:val="center"/>
            </w:pPr>
            <w:r>
              <w:t xml:space="preserve">30.01</w:t>
            </w:r>
          </w:p>
        </w:tc>
        <w:tc>
          <w:p>
            <w:pPr>
              <w:pStyle w:val="Compact"/>
              <w:jc w:val="center"/>
            </w:pPr>
            <w:r>
              <w:t xml:space="preserve">0.001</w:t>
            </w:r>
          </w:p>
        </w:tc>
        <w:tc>
          <w:p>
            <w:pPr>
              <w:pStyle w:val="Compact"/>
              <w:jc w:val="center"/>
            </w:pPr>
            <w:r>
              <w:t xml:space="preserve">32.24</w:t>
            </w:r>
          </w:p>
        </w:tc>
        <w:tc>
          <w:p>
            <w:pPr>
              <w:pStyle w:val="Compact"/>
              <w:jc w:val="center"/>
            </w:pPr>
            <w:r>
              <w:t xml:space="preserve">0.001</w:t>
            </w:r>
          </w:p>
        </w:tc>
        <w:tc>
          <w:p>
            <w:pPr>
              <w:pStyle w:val="Compact"/>
              <w:jc w:val="center"/>
            </w:pPr>
            <w:r>
              <w:t xml:space="preserve">BAI</w:t>
            </w:r>
          </w:p>
        </w:tc>
      </w:tr>
      <w:tr>
        <w:tc>
          <w:p>
            <w:pPr>
              <w:pStyle w:val="Compact"/>
              <w:jc w:val="center"/>
            </w:pPr>
            <w:r>
              <w:t xml:space="preserve">Disturb</w:t>
            </w:r>
          </w:p>
        </w:tc>
        <w:tc>
          <w:p>
            <w:pPr>
              <w:pStyle w:val="Compact"/>
              <w:jc w:val="center"/>
            </w:pPr>
            <w:r>
              <w:t xml:space="preserve">311.99</w:t>
            </w:r>
          </w:p>
        </w:tc>
        <w:tc>
          <w:p>
            <w:pPr>
              <w:pStyle w:val="Compact"/>
              <w:jc w:val="center"/>
            </w:pPr>
            <w:r>
              <w:t xml:space="preserve">0.001</w:t>
            </w:r>
          </w:p>
        </w:tc>
        <w:tc>
          <w:p>
            <w:pPr>
              <w:pStyle w:val="Compact"/>
              <w:jc w:val="center"/>
            </w:pPr>
            <w:r>
              <w:t xml:space="preserve">207.18</w:t>
            </w:r>
          </w:p>
        </w:tc>
        <w:tc>
          <w:p>
            <w:pPr>
              <w:pStyle w:val="Compact"/>
              <w:jc w:val="center"/>
            </w:pPr>
            <w:r>
              <w:t xml:space="preserve">0.001</w:t>
            </w:r>
          </w:p>
        </w:tc>
        <w:tc>
          <w:p>
            <w:pPr>
              <w:pStyle w:val="Compact"/>
              <w:jc w:val="center"/>
            </w:pPr>
            <w:r>
              <w:t xml:space="preserve">799.87</w:t>
            </w:r>
          </w:p>
        </w:tc>
        <w:tc>
          <w:p>
            <w:pPr>
              <w:pStyle w:val="Compact"/>
              <w:jc w:val="center"/>
            </w:pPr>
            <w:r>
              <w:t xml:space="preserve">0.001</w:t>
            </w:r>
          </w:p>
        </w:tc>
        <w:tc>
          <w:p>
            <w:pPr>
              <w:pStyle w:val="Compact"/>
              <w:jc w:val="center"/>
            </w:pPr>
            <w:r>
              <w:t xml:space="preserve">EVI</w:t>
            </w:r>
          </w:p>
        </w:tc>
      </w:tr>
      <w:tr>
        <w:tc>
          <w:p>
            <w:pPr>
              <w:pStyle w:val="Compact"/>
              <w:jc w:val="center"/>
            </w:pPr>
            <w:r>
              <w:t xml:space="preserve">Site</w:t>
            </w:r>
          </w:p>
        </w:tc>
        <w:tc>
          <w:p>
            <w:pPr>
              <w:pStyle w:val="Compact"/>
              <w:jc w:val="center"/>
            </w:pPr>
            <w:r>
              <w:t xml:space="preserve">105.41</w:t>
            </w:r>
          </w:p>
        </w:tc>
        <w:tc>
          <w:p>
            <w:pPr>
              <w:pStyle w:val="Compact"/>
              <w:jc w:val="center"/>
            </w:pPr>
            <w:r>
              <w:t xml:space="preserve">0.001</w:t>
            </w:r>
          </w:p>
        </w:tc>
        <w:tc>
          <w:p>
            <w:pPr>
              <w:pStyle w:val="Compact"/>
              <w:jc w:val="center"/>
            </w:pPr>
            <w:r>
              <w:t xml:space="preserve">29.82</w:t>
            </w:r>
          </w:p>
        </w:tc>
        <w:tc>
          <w:p>
            <w:pPr>
              <w:pStyle w:val="Compact"/>
              <w:jc w:val="center"/>
            </w:pPr>
            <w:r>
              <w:t xml:space="preserve">0.001</w:t>
            </w:r>
          </w:p>
        </w:tc>
        <w:tc>
          <w:p>
            <w:pPr>
              <w:pStyle w:val="Compact"/>
              <w:jc w:val="center"/>
            </w:pPr>
            <w:r>
              <w:t xml:space="preserve">153.22</w:t>
            </w:r>
          </w:p>
        </w:tc>
        <w:tc>
          <w:p>
            <w:pPr>
              <w:pStyle w:val="Compact"/>
              <w:jc w:val="center"/>
            </w:pPr>
            <w:r>
              <w:t xml:space="preserve">0.001</w:t>
            </w:r>
          </w:p>
        </w:tc>
        <w:tc>
          <w:p>
            <w:pPr>
              <w:pStyle w:val="Compact"/>
              <w:jc w:val="center"/>
            </w:pPr>
            <w:r>
              <w:t xml:space="preserve">EVI</w:t>
            </w:r>
          </w:p>
        </w:tc>
      </w:tr>
      <w:tr>
        <w:tc>
          <w:p>
            <w:pPr>
              <w:pStyle w:val="Compact"/>
              <w:jc w:val="center"/>
            </w:pPr>
            <w:r>
              <w:t xml:space="preserve">Disturb X Site</w:t>
            </w:r>
          </w:p>
        </w:tc>
        <w:tc>
          <w:p>
            <w:pPr>
              <w:pStyle w:val="Compact"/>
              <w:jc w:val="center"/>
            </w:pPr>
            <w:r>
              <w:t xml:space="preserve">364.31</w:t>
            </w:r>
          </w:p>
        </w:tc>
        <w:tc>
          <w:p>
            <w:pPr>
              <w:pStyle w:val="Compact"/>
              <w:jc w:val="center"/>
            </w:pPr>
            <w:r>
              <w:t xml:space="preserve">0.001</w:t>
            </w:r>
          </w:p>
        </w:tc>
        <w:tc>
          <w:p>
            <w:pPr>
              <w:pStyle w:val="Compact"/>
              <w:jc w:val="center"/>
            </w:pPr>
            <w:r>
              <w:t xml:space="preserve">6.14</w:t>
            </w:r>
          </w:p>
        </w:tc>
        <w:tc>
          <w:p>
            <w:pPr>
              <w:pStyle w:val="Compact"/>
              <w:jc w:val="center"/>
            </w:pPr>
            <w:r>
              <w:t xml:space="preserve">0.014</w:t>
            </w:r>
          </w:p>
        </w:tc>
        <w:tc>
          <w:p>
            <w:pPr>
              <w:pStyle w:val="Compact"/>
              <w:jc w:val="center"/>
            </w:pPr>
            <w:r>
              <w:t xml:space="preserve">234.7</w:t>
            </w:r>
          </w:p>
        </w:tc>
        <w:tc>
          <w:p>
            <w:pPr>
              <w:pStyle w:val="Compact"/>
              <w:jc w:val="center"/>
            </w:pPr>
            <w:r>
              <w:t xml:space="preserve">0.001</w:t>
            </w:r>
          </w:p>
        </w:tc>
        <w:tc>
          <w:p>
            <w:pPr>
              <w:pStyle w:val="Compact"/>
              <w:jc w:val="center"/>
            </w:pPr>
            <w:r>
              <w:t xml:space="preserve">EVI</w:t>
            </w:r>
          </w:p>
        </w:tc>
      </w:tr>
    </w:tbl>
    <w:p>
      <w:pPr>
        <w:pStyle w:val="Ttulo1"/>
      </w:pPr>
      <w:bookmarkStart w:id="51" w:name="table-rs1"/>
      <w:bookmarkEnd w:id="51"/>
      <w:r>
        <w:t xml:space="preserve">Table RS1</w:t>
      </w:r>
    </w:p>
    <w:p>
      <w:pPr>
        <w:pStyle w:val="Compact"/>
        <w:numPr>
          <w:numId w:val="1018"/>
          <w:ilvl w:val="0"/>
        </w:numPr>
      </w:pPr>
      <w:r>
        <w:t xml:space="preserve">Estimadores huber resiliences EVI</w:t>
      </w:r>
    </w:p>
    <w:p>
      <w:pPr>
        <w:pStyle w:val="Ttulo1"/>
      </w:pPr>
      <w:bookmarkStart w:id="52" w:name="table-rs2"/>
      <w:bookmarkEnd w:id="52"/>
      <w:r>
        <w:t xml:space="preserve">Table RS2</w:t>
      </w:r>
    </w:p>
    <w:p>
      <w:pPr>
        <w:pStyle w:val="Compact"/>
        <w:numPr>
          <w:numId w:val="1019"/>
          <w:ilvl w:val="0"/>
        </w:numPr>
      </w:pPr>
      <w:r>
        <w:t xml:space="preserve">Estimadores huber resiliences Bai</w:t>
      </w:r>
    </w:p>
    <w:p>
      <w:pPr>
        <w:pStyle w:val="Ttulo3"/>
      </w:pPr>
      <w:bookmarkStart w:id="53" w:name="figure-2"/>
      <w:bookmarkEnd w:id="53"/>
      <w:r>
        <w:t xml:space="preserve">Figure 2</w:t>
      </w:r>
    </w:p>
    <w:p>
      <w:pPr>
        <w:pStyle w:val="FirstParagraph"/>
      </w:pPr>
      <w:r>
        <w:drawing>
          <wp:inline>
            <wp:extent cx="5943600" cy="7132320"/>
            <wp:effectExtent b="0" l="0" r="0" t="0"/>
            <wp:docPr descr="" id="1" name="Picture"/>
            <a:graphic>
              <a:graphicData uri="http://schemas.openxmlformats.org/drawingml/2006/picture">
                <pic:pic>
                  <pic:nvPicPr>
                    <pic:cNvPr descr="report_files/figure-docx/unnamed-chunk-30-1.png" id="0" name="Picture"/>
                    <pic:cNvPicPr>
                      <a:picLocks noChangeArrowheads="1" noChangeAspect="1"/>
                    </pic:cNvPicPr>
                  </pic:nvPicPr>
                  <pic:blipFill>
                    <a:blip r:embed="rId54"/>
                    <a:stretch>
                      <a:fillRect/>
                    </a:stretch>
                  </pic:blipFill>
                  <pic:spPr bwMode="auto">
                    <a:xfrm>
                      <a:off x="0" y="0"/>
                      <a:ext cx="5943600" cy="7132320"/>
                    </a:xfrm>
                    <a:prstGeom prst="rect">
                      <a:avLst/>
                    </a:prstGeom>
                    <a:noFill/>
                    <a:ln w="9525">
                      <a:noFill/>
                      <a:headEnd/>
                      <a:tailEnd/>
                    </a:ln>
                  </pic:spPr>
                </pic:pic>
              </a:graphicData>
            </a:graphic>
          </wp:inline>
        </w:drawing>
      </w:r>
    </w:p>
    <w:p>
      <w:pPr>
        <w:pStyle w:val="Ttulo3"/>
      </w:pPr>
      <w:bookmarkStart w:id="55" w:name="figure-r2-3"/>
      <w:bookmarkEnd w:id="55"/>
      <w:r>
        <w:t xml:space="preserve">Figure R2 = 3</w:t>
      </w:r>
    </w:p>
    <w:p>
      <w:pPr>
        <w:pStyle w:val="FirstParagraph"/>
      </w:pPr>
      <w:r>
        <w:drawing>
          <wp:inline>
            <wp:extent cx="5943600" cy="4754880"/>
            <wp:effectExtent b="0" l="0" r="0" t="0"/>
            <wp:docPr descr="" id="1" name="Picture"/>
            <a:graphic>
              <a:graphicData uri="http://schemas.openxmlformats.org/drawingml/2006/picture">
                <pic:pic>
                  <pic:nvPicPr>
                    <pic:cNvPr descr="report_files/figure-docx/unnamed-chunk-31-1.png" id="0"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Canty, A., and B. D. Ripley. 2016. Boot: Bootstrap r (s-plus) functions.</w:t>
      </w:r>
    </w:p>
    <w:p>
      <w:pPr>
        <w:pStyle w:val="Bibliografa"/>
      </w:pPr>
      <w:r>
        <w:t xml:space="preserve">Didan, K. 2015. MOD13Q1 MODIS/Terra Vegetation Indices 16-Day L3 Global 250m SIN Grid V006. NASA EOSDIS Land Processes DAAC.</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Wilcox, R. 2012. Introduction to robust estimation and hypothesis testing (third edition). Page 608. Third Edition. Academic Press.</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fed6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2b65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2017-12-18T17:18:03Z</dcterms:created>
  <dcterms:modified xsi:type="dcterms:W3CDTF">2017-12-18T17:18:03Z</dcterms:modified>
</cp:coreProperties>
</file>