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Ttulo3"/>
      </w:pPr>
      <w:bookmarkStart w:id="22" w:name="sequias"/>
      <w:bookmarkEnd w:id="22"/>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Además las proyecciones apuntan a que este incremento en la frecuencia continuará</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lockText"/>
      </w:pPr>
      <w:r>
        <w:t xml:space="preserve">notas sequia</w:t>
      </w:r>
    </w:p>
    <w:p>
      <w:pPr>
        <w:pStyle w:val="Compact"/>
        <w:pStyle w:val="BlockText"/>
        <w:numPr>
          <w:numId w:val="1002"/>
          <w:ilvl w:val="0"/>
        </w:numPr>
      </w:pPr>
      <w:r>
        <w:t xml:space="preserve">the drought events have been longest and most severe in the period 1991-2010 for mediterranean are of Southern Europe</w:t>
      </w:r>
      <w:r>
        <w:br w:type="textWrapping"/>
      </w:r>
    </w:p>
    <w:p>
      <w:pPr>
        <w:pStyle w:val="Compact"/>
        <w:pStyle w:val="BlockText"/>
        <w:numPr>
          <w:numId w:val="1002"/>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Ttulo3"/>
      </w:pPr>
      <w:bookmarkStart w:id="23" w:name="extreme-sequias-y-ecologia"/>
      <w:bookmarkEnd w:id="23"/>
      <w:r>
        <w:t xml:space="preserve"> Extreme sequias y ecologia</w:t>
      </w:r>
    </w:p>
    <w:p>
      <w:pPr>
        <w:pStyle w:val="Compact"/>
        <w:numPr>
          <w:numId w:val="1003"/>
          <w:ilvl w:val="0"/>
        </w:numPr>
      </w:pPr>
      <w:r>
        <w:t xml:space="preserve">ojo hablar de que la sequía es un proceso natural, pero que se está viendo aumentado en los últimos años:</w:t>
      </w:r>
    </w:p>
    <w:p>
      <w:pPr>
        <w:pStyle w:val="FirstParagraph"/>
      </w:pPr>
      <w:r>
        <w:t xml:space="preserve">Drought is a natural phenomenon that occurs when water availability is significantly below normal levels over a long period and the supply cannot meet the existing demand.</w:t>
      </w:r>
    </w:p>
    <w:p>
      <w:pPr>
        <w:pStyle w:val="BlockText"/>
      </w:pPr>
      <w:r>
        <w:t xml:space="preserve">ver intro Ecosphere:</w:t>
      </w:r>
      <w:r>
        <w:t xml:space="preserve"> </w:t>
      </w:r>
      <w:r>
        <w:t xml:space="preserve">Drought affects ecological systems across every climatic zone worldwide and is exacerbated by climate change and increasing anthropogenic water demands (Mishra and Singh 2010). Characterized by below-normal precipitation (Dai 2011), meteorological drought results from complex interactions between the atmosphere and hydrologic processes within the biosphere. Unlike aridity, which is a permanent feature of climate (Wilhite 1992), drought is a temporary extreme event (Palmer 1965, Mishra and Singh 2010) that can persist for extended time periods (months to years; Mishra and Singh 2010). Drought can cause significant changes in ecosystem productivity and water dynamics, and it is one of the most economically and ecologically disruptive extreme events affecting millions of people globally (Dai 2011).</w:t>
      </w:r>
    </w:p>
    <w:p>
      <w:pPr>
        <w:pStyle w:val="FirstParagraph"/>
      </w:pPr>
      <w:r>
        <w:t xml:space="preserve">Extreme climate events (e.g. droughts) severely affect forests and grasslands throuhg changes in plant physiology, phenology and carbon allocation</w:t>
      </w:r>
      <w:r>
        <w:t xml:space="preserve"> </w:t>
      </w:r>
      <w:r>
        <w:t xml:space="preserve">(Ummenhofer and Meehl 2017)</w:t>
      </w:r>
      <w:r>
        <w:t xml:space="preserve"> </w:t>
      </w:r>
      <w:r>
        <w:t xml:space="preserve">(incluir citas para los efectos de la sequía sobre la vegetación).</w:t>
      </w:r>
    </w:p>
    <w:p>
      <w:pPr>
        <w:pStyle w:val="Textodecuerpo"/>
      </w:pPr>
      <w:r>
        <w:t xml:space="preserve">No solo efectos aislados, sino también en conjunción con otros factores, sobre todo en el mediterráneo donde convergen muchos de los factores que pueden interaccionar:</w:t>
      </w:r>
    </w:p>
    <w:p>
      <w:pPr>
        <w:pStyle w:val="Compact"/>
        <w:numPr>
          <w:numId w:val="1004"/>
          <w:ilvl w:val="0"/>
        </w:numPr>
      </w:pPr>
      <w:r>
        <w:t xml:space="preserve">La sequía es un factor crucial a tener en cuenta, ya que es además de los efectos que puede tener de forma aislada, se ha visto que además presenta muchas interacciones con otros factores, siendo por tanto un factor crucial (</w:t>
      </w:r>
      <w:r>
        <w:rPr>
          <w:rStyle w:val="VerbatimChar"/>
        </w:rPr>
        <w:t xml:space="preserve">$IMPROVE$</w:t>
      </w:r>
      <w:r>
        <w:t xml:space="preserve"> </w:t>
      </w:r>
      <w:r>
        <w:t xml:space="preserve">ver</w:t>
      </w:r>
      <w:r>
        <w:t xml:space="preserve"> </w:t>
      </w:r>
      <w:r>
        <w:t xml:space="preserve">(Doblas-Miranda et al. 2017)</w:t>
      </w:r>
      <w:r>
        <w:t xml:space="preserve">):</w:t>
      </w:r>
    </w:p>
    <w:p>
      <w:pPr>
        <w:pStyle w:val="Compact"/>
        <w:numPr>
          <w:numId w:val="1004"/>
          <w:ilvl w:val="0"/>
        </w:numPr>
      </w:pPr>
      <w:r>
        <w:t xml:space="preserve">Some interactions alter the effects of a single factor, as drought enhances or decreases the effects of atmospheric components on plant ecophysiology</w:t>
      </w:r>
    </w:p>
    <w:p>
      <w:pPr>
        <w:pStyle w:val="Compact"/>
        <w:numPr>
          <w:numId w:val="1004"/>
          <w:ilvl w:val="0"/>
        </w:numPr>
      </w:pPr>
      <w:r>
        <w:t xml:space="preserve">Drought and land use changes, among others, alter water resources and lead to land degradation, vegetation regeneration decline, and expansion of forest diseases.</w:t>
      </w:r>
    </w:p>
    <w:p>
      <w:pPr>
        <w:pStyle w:val="Compact"/>
        <w:numPr>
          <w:numId w:val="1004"/>
          <w:ilvl w:val="0"/>
        </w:numPr>
      </w:pPr>
      <w:r>
        <w:t xml:space="preserve">Climate change, and especially drought, emerges as a crucial factor in most of the reviewed interactions and therefore it should be considered when it comes to designing and applying international management policies</w:t>
      </w:r>
    </w:p>
    <w:p>
      <w:pPr>
        <w:pStyle w:val="Compact"/>
        <w:numPr>
          <w:numId w:val="1004"/>
          <w:ilvl w:val="0"/>
        </w:numPr>
      </w:pPr>
      <w:r>
        <w:t xml:space="preserve">Drought should be considered when designing and applying management policies.</w:t>
      </w:r>
    </w:p>
    <w:p>
      <w:pPr>
        <w:pStyle w:val="FirstParagraph"/>
      </w:pPr>
      <w:r>
        <w:t xml:space="preserve">Además la sequía se espera que tengan …Droughts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 Así por ejemplo se ha visto que todos los biomas presentan una vulnerabilidad similar …</w:t>
      </w:r>
      <w:r>
        <w:t xml:space="preserve"> </w:t>
      </w:r>
      <w:r>
        <w:t xml:space="preserve">En una revision sobre la vulnerabilidad del sistema de trasnporte en plantas al embolismo inducido por sequía, ha mostrado que una convergencia de la vulnerabilidad de los bosques a la sequía, mostrando que todos los biomas son igualmente vulnerables a los fallos hidráulicos independientemente del régimen de precipitación (Choat et al. 2012,</w:t>
      </w:r>
      <w:r>
        <w:t xml:space="preserve"> </w:t>
      </w:r>
      <w:hyperlink r:id="rId24">
        <w:r>
          <w:rPr>
            <w:rStyle w:val="Hipervnculo"/>
          </w:rPr>
          <w:t xml:space="preserve">doi:10.1038/nature11688</w:t>
        </w:r>
      </w:hyperlink>
      <w:r>
        <w:t xml:space="preserve">)</w:t>
      </w:r>
    </w:p>
    <w:p>
      <w:pPr>
        <w:pStyle w:val="Textodecuerpo"/>
      </w:pPr>
      <w:r>
        <w:t xml:space="preserve">– Existen evidencias que sugieren que muchos bosques son vulnerables a eventos climáticos extremos … (Zhang) y esto puede ser especialmente relevante para especies situadas en el rear edge (completar)</w:t>
      </w:r>
    </w:p>
    <w:p>
      <w:pPr>
        <w:pStyle w:val="Textodecuerpo"/>
      </w:pPr>
      <w:r>
        <w:t xml:space="preserve">Una vez dicho esto…</w:t>
      </w:r>
    </w:p>
    <w:p>
      <w:pPr>
        <w:pStyle w:val="Compact"/>
        <w:numPr>
          <w:numId w:val="1005"/>
          <w:ilvl w:val="0"/>
        </w:numPr>
      </w:pPr>
      <w:r>
        <w:t xml:space="preserve">Como la dendro ayuda a evaluar las sequías (ver Gazol 2017)</w:t>
      </w:r>
    </w:p>
    <w:p>
      <w:pPr>
        <w:numPr>
          <w:numId w:val="1005"/>
          <w:ilvl w:val="0"/>
        </w:numPr>
      </w:pPr>
      <w:r>
        <w:t xml:space="preserve">Remote sensing:</w:t>
      </w:r>
    </w:p>
    <w:p>
      <w:pPr>
        <w:pStyle w:val="Compact"/>
        <w:numPr>
          <w:numId w:val="1006"/>
          <w:ilvl w:val="1"/>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6"/>
          <w:ilvl w:val="1"/>
        </w:numPr>
      </w:pPr>
      <w:r>
        <w:t xml:space="preserve">Leer también a</w:t>
      </w:r>
      <w:r>
        <w:t xml:space="preserve"> </w:t>
      </w:r>
      <w:r>
        <w:t xml:space="preserve">AghaKouchak et al. (2015)</w:t>
      </w:r>
    </w:p>
    <w:p>
      <w:pPr>
        <w:pStyle w:val="FirstParagraph"/>
      </w:pPr>
      <w:r>
        <w:t xml:space="preserve">Climate change projections indicate that extreme events will become more common in the future (IPCC 2013), making it important that we understand how ecosystems respond to these events and the potential feedbacks to radiative forcing.</w:t>
      </w:r>
    </w:p>
    <w:p>
      <w:pPr>
        <w:pStyle w:val="Ttulo3"/>
      </w:pPr>
      <w:bookmarkStart w:id="25" w:name="section"/>
      <w:bookmarkEnd w:id="25"/>
    </w:p>
    <w:p>
      <w:pPr>
        <w:pStyle w:val="FirstParagraph"/>
      </w:pPr>
      <w:r>
        <w:t xml:space="preserve">Uso de NDVI como estimador de la NPP:</w:t>
      </w:r>
    </w:p>
    <w:p>
      <w:pPr>
        <w:numPr>
          <w:numId w:val="1007"/>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7"/>
          <w:ilvl w:val="0"/>
        </w:numPr>
      </w:pPr>
      <w:r>
        <w:t xml:space="preserve">Ver Gilaber et al. 2017</w:t>
      </w:r>
      <w:r>
        <w:t xml:space="preserve"> </w:t>
      </w:r>
      <w:hyperlink r:id="rId26">
        <w:r>
          <w:rPr>
            <w:rStyle w:val="Hipervnculo"/>
          </w:rPr>
          <w:t xml:space="preserve">http://www.mdpi.com/2072-4292/9/3/193</w:t>
        </w:r>
      </w:hyperlink>
    </w:p>
    <w:p>
      <w:pPr>
        <w:pStyle w:val="FirstParagraph"/>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8"/>
          <w:ilvl w:val="0"/>
        </w:numPr>
      </w:pPr>
      <w:r>
        <w:t xml:space="preserve">To quantify how two extreme drought events influenced the greenness and radial growth of</w:t>
      </w:r>
      <w:r>
        <w:t xml:space="preserve"> </w:t>
      </w:r>
      <w:r>
        <w:rPr>
          <w:i/>
        </w:rPr>
        <w:t xml:space="preserve">Q. pyreancia</w:t>
      </w:r>
      <w:r>
        <w:t xml:space="preserve"> </w:t>
      </w:r>
      <w:r>
        <w:t xml:space="preserve">forests in their rear edge,</w:t>
      </w:r>
    </w:p>
    <w:p>
      <w:pPr>
        <w:numPr>
          <w:numId w:val="1008"/>
          <w:ilvl w:val="0"/>
        </w:numPr>
      </w:pPr>
      <w:r>
        <w:t xml:space="preserve">to analyze the resilience of these forests to successive extreme drought events,</w:t>
      </w:r>
    </w:p>
    <w:p>
      <w:pPr>
        <w:numPr>
          <w:numId w:val="1008"/>
          <w:ilvl w:val="0"/>
        </w:numPr>
      </w:pPr>
      <w:r>
        <w:t xml:space="preserve">and to explore differences in the resilience metrics between populations located in contrasting slopes within the rear edge of the distribution of this species.</w:t>
      </w:r>
    </w:p>
    <w:p>
      <w:pPr>
        <w:pStyle w:val="FirstParagraph"/>
      </w:pPr>
      <w:r>
        <w:t xml:space="preserve">Do northern and southern populations of Pyrenean oak forests differ in their resistance, resilience or recovery to extreme drought events?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(Vilches de la 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w:t>
      </w:r>
      <w:r>
        <w:t xml:space="preserve">Brewer et al. (2002)</w:t>
      </w:r>
      <w:r>
        <w:t xml:space="preserve">;</w:t>
      </w:r>
      <w:r>
        <w:t xml:space="preserve"> </w:t>
      </w:r>
      <w:r>
        <w:t xml:space="preserve">Olalde et al. (2002)</w:t>
      </w:r>
      <w:r>
        <w:t xml:space="preserve">; RodriguezSanchez2010] 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w:t>
      </w:r>
      <w:r>
        <w:t xml:space="preserve"> </w:t>
      </w:r>
      <w:r>
        <w:t xml:space="preserve">Vivero et al. (2000)</w:t>
      </w:r>
      <w:r>
        <w:t xml:space="preserve">)</w:t>
      </w:r>
      <w:r>
        <w:t xml:space="preserve">, undergoing intensive anthropic use in the last few decades</w:t>
      </w:r>
      <w:r>
        <w:t xml:space="preserve"> </w:t>
      </w:r>
      <w:r>
        <w:t xml:space="preserve">(Camacho-Olmedo et al. 2002, Valbuena-Carabaña et al. 2010, Valbuena-Carabaña and Gil 2017)</w:t>
      </w:r>
      <w:r>
        <w:t xml:space="preserve">. In fact, the status of conservation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as well as to its high intraspecific genetic diversity</w:t>
      </w:r>
      <w:r>
        <w:t xml:space="preserve"> </w:t>
      </w:r>
      <w:r>
        <w:t xml:space="preserve">(Valbuena-Carabaña et al. 2010)</w:t>
      </w:r>
      <w:r>
        <w:t xml:space="preserve">. However, they are also expected to suffer the impact of climate change, due to their climate requirements (wet summers).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31" w:name="drought-episodes"/>
      <w:bookmarkEnd w:id="31"/>
      <w:r>
        <w:t xml:space="preserve">Drought episodes</w:t>
      </w:r>
    </w:p>
    <w:p>
      <w:pPr>
        <w:pStyle w:val="Compact"/>
        <w:numPr>
          <w:numId w:val="1009"/>
          <w:ilvl w:val="0"/>
        </w:numPr>
      </w:pPr>
      <w:r>
        <w:t xml:space="preserve">:red_circle: Meter aquí algunos datos de sequia, similar a lo planteado por Gazol</w:t>
      </w:r>
    </w:p>
    <w:p>
      <w:pPr>
        <w:pStyle w:val="FirstParagraph"/>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10"/>
          <w:ilvl w:val="0"/>
        </w:numPr>
      </w:pPr>
      <w:r>
        <w:t xml:space="preserve">O quizá un apartado llamado Drought episodes (similar a esto</w:t>
      </w:r>
      <w:r>
        <w:t xml:space="preserve"> </w:t>
      </w:r>
      <w:hyperlink r:id="rId32">
        <w:r>
          <w:rPr>
            <w:rStyle w:val="Hipervnculo"/>
          </w:rPr>
          <w:t xml:space="preserve">https://www.nature.com/articles/srep28269</w:t>
        </w:r>
      </w:hyperlink>
      <w:r>
        <w:t xml:space="preserve">)</w:t>
      </w:r>
    </w:p>
    <w:p>
      <w:pPr>
        <w:pStyle w:val="Ttulo2"/>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MODIS EVI Data from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 data filtering was applied to select EVI valid values. The filtering was done using quality flags and VI Usefulness Indices accompanying the EVI data. We filter out those values affected by high content of aerosols, clouds, snow and shadows, following the filtering recomendations of EVI data for mountain regions</w:t>
      </w:r>
      <w:r>
        <w:t xml:space="preserve"> </w:t>
      </w:r>
      <w:r>
        <w:t xml:space="preserve">(Reyes-Díez et al. 2015)</w:t>
      </w:r>
      <w:r>
        <w:t xml:space="preserve">.</w:t>
      </w:r>
    </w:p>
    <w:p>
      <w:pPr>
        <w:pStyle w:val="Textodecuerpo"/>
      </w:pPr>
      <w:r>
        <w:t xml:space="preserve">After the filter out process, we built the annual EVI profile for each pixel and then computed the EVI’s annual mean values and the EVI anomaly for each pixel for the period 2000 - 2016. EVI mean 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w:t>
      </w:r>
    </w:p>
    <w:p>
      <w:pPr>
        <w:pStyle w:val="Textodecuerpo"/>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 Gao et al. 2016)</w:t>
      </w:r>
      <w:r>
        <w:t xml:space="preserve">. For each pixel we annually averaged all the EVI valid values,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tulo2"/>
      </w:pPr>
      <w:bookmarkStart w:id="34" w:name="field-sampling-and-dendrochronological-methods"/>
      <w:bookmarkEnd w:id="34"/>
      <w:r>
        <w:t xml:space="preserve">Field sampling and dendrochronological methods</w:t>
      </w:r>
    </w:p>
    <w:p>
      <w:pPr>
        <w:pStyle w:val="Ttulo3"/>
      </w:pPr>
      <w:bookmarkStart w:id="35" w:name="tree-sampling"/>
      <w:bookmarkEnd w:id="35"/>
      <w:r>
        <w:t xml:space="preserve">Tree sampling</w:t>
      </w:r>
    </w:p>
    <w:p>
      <w:pPr>
        <w:pStyle w:val="FirstParagraph"/>
      </w:pPr>
      <w:r>
        <w:t xml:space="preserve">Sampling was carried during autumn of 2016. Trees were sampled at two locations in contrasting slopes of Sierra Nevada: San Juan (SJ; northern aspect) and Cáñar (CA;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We assessed stand competition of target trees by recording distance, azimuth, dbh, species and total height of all neighboring living trees with dbh &gt; 7.5 cm in a circular plot of 10 m radius. We computed two distance independent indices: density in</w:t>
      </w:r>
      <w:r>
        <w:t xml:space="preserve"> </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 basal area (BA) in</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one distance dependent indices: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We used non-parametric Kruskal-Wallis rank sum tests</w:t>
      </w:r>
      <w:r>
        <w:t xml:space="preserve"> </w:t>
      </w:r>
      <w:r>
        <w:t xml:space="preserve">(Sokal and Rohlf 1995)</w:t>
      </w:r>
      <w:r>
        <w:t xml:space="preserve"> </w:t>
      </w:r>
      <w:r>
        <w:t xml:space="preserve">for search differences between sites for height, DBH and competence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w:t>
      </w:r>
      <w:r>
        <w:t xml:space="preserve"> </w:t>
      </w:r>
      <w:r>
        <w:t xml:space="preserve">(Pohlert 2014)</w:t>
      </w:r>
      <w:r>
        <w:t xml:space="preserve">.</w:t>
      </w:r>
    </w:p>
    <w:p>
      <w:pPr>
        <w:pStyle w:val="Ttulo3"/>
      </w:pPr>
      <w:bookmarkStart w:id="36" w:name="dendroecological-analyses"/>
      <w:bookmarkEnd w:id="36"/>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Validation of the cross-dating was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(RWI)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w:t>
      </w:r>
      <w:r>
        <w:t xml:space="preserve"> </w:t>
      </w:r>
      <w:r>
        <w:t xml:space="preserve">(Wigley et al. 1984)</w:t>
      </w:r>
      <w:r>
        <w:t xml:space="preserve">.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We used measured dbh and raw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Mean site BAI chronologies were obtained by averaging individual tree BAI time series.</w:t>
      </w:r>
    </w:p>
    <w:p>
      <w:pPr>
        <w:pStyle w:val="Textodecuerpo"/>
      </w:pPr>
      <w:r>
        <w:t xml:space="preserve">Both RWI and BAI chronologies were compared to different climatic indices to analyse the tree low and the high-frequency response to climate. Statistical descriptive parameters</w:t>
      </w:r>
      <w:r>
        <w:t xml:space="preserve"> </w:t>
      </w:r>
      <w:r>
        <w:t xml:space="preserve">(Fritts 1976)</w:t>
      </w:r>
      <w:r>
        <w:t xml:space="preserve"> </w:t>
      </w:r>
      <w:r>
        <w:t xml:space="preserve">including the mean, standard deviation, first-order autocorrelation of raw series, the mean sensitivity (a measure of the year-to-year variability) and the mean correlation between individual series of residual ring-width indices, were also calculated for each site chronology.</w:t>
      </w:r>
    </w:p>
    <w:p>
      <w:pPr>
        <w:pStyle w:val="Ttulo3"/>
      </w:pPr>
      <w:bookmarkStart w:id="37" w:name="climate-and-growth"/>
      <w:bookmarkEnd w:id="37"/>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8">
        <w:r>
          <w:rPr>
            <w:rStyle w:val="Hipervnculo"/>
          </w:rPr>
          <w:t xml:space="preserve">http://www.meteo.unican.es/en/climate4R</w:t>
        </w:r>
      </w:hyperlink>
      <w:r>
        <w:t xml:space="preserve">)</w:t>
      </w:r>
      <w:r>
        <w:t xml:space="preserve"> </w:t>
      </w:r>
      <w:r>
        <w:t xml:space="preserve">(Cofiño et al. 2018, Frías et al. 2018)</w:t>
      </w:r>
      <w:r>
        <w:t xml:space="preserve">. 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39">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selected a temporal scale for the SPEI of 6 months.</w:t>
      </w:r>
    </w:p>
    <w:p>
      <w:pPr>
        <w:pStyle w:val="Textodecuerpo"/>
      </w:pPr>
      <w:r>
        <w:t xml:space="preserve">The relationships between residual site chronologies and the climatic variables were assessed by a bootstrapped Pearson’s correlation estimate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the significance (p &lt; 0.05) of the correlation coefficients.</w:t>
      </w:r>
    </w:p>
    <w:p>
      <w:pPr>
        <w:pStyle w:val="Ttulo3"/>
      </w:pPr>
      <w:bookmarkStart w:id="40" w:name="disturbance-analyses"/>
      <w:bookmarkEnd w:id="40"/>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(DUDA) of GC and more than 50% of the individual trees displaying the same growth changes was considered a stand-wise disturbance.</w:t>
      </w:r>
    </w:p>
    <w:p>
      <w:pPr>
        <w:pStyle w:val="Ttulo2"/>
      </w:pPr>
      <w:bookmarkStart w:id="41" w:name="resilience"/>
      <w:bookmarkEnd w:id="41"/>
      <w:r>
        <w:t xml:space="preserve">Resilience</w:t>
      </w:r>
    </w:p>
    <w:p>
      <w:pPr>
        <w:pStyle w:val="FirstParagraph"/>
      </w:pPr>
      <w:r>
        <w:t xml:space="preserve">To evaluate the effects of drougth events on greeennes and tree growth (BAI) we used three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We computed the values of these indices for tree growth (BAI) and greenness during each drought event. We considered 2005 and 2012 as singles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(Figure S3) and this length was used in other studies</w:t>
      </w:r>
      <w:r>
        <w:t xml:space="preserve"> </w:t>
      </w:r>
      <w:r>
        <w:t xml:space="preserve">(Gazol et al. 2017)</w:t>
      </w:r>
      <w:r>
        <w:t xml:space="preserve">.</w:t>
      </w:r>
    </w:p>
    <w:p>
      <w:pPr>
        <w:pStyle w:val="Ttulo2"/>
      </w:pPr>
      <w:bookmarkStart w:id="42" w:name="statistical-analysis"/>
      <w:bookmarkEnd w:id="42"/>
      <w:r>
        <w:t xml:space="preserve">Statistical analysis</w:t>
      </w:r>
    </w:p>
    <w:p>
      <w:pPr>
        <w:pStyle w:val="FirstParagraph"/>
      </w:pPr>
      <w:r>
        <w:t xml:space="preserve">We used robust two-way ANOVAs to test for differences between drought events (2005 and 2012) and oak population (northern and southern slopes) for each of the three resilience indices studied. These test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43" w:name="results"/>
      <w:bookmarkEnd w:id="43"/>
      <w:r>
        <w:t xml:space="preserve">Results</w:t>
      </w:r>
    </w:p>
    <w:p>
      <w:pPr>
        <w:pStyle w:val="Ttulo2"/>
      </w:pPr>
      <w:bookmarkStart w:id="44" w:name="vegetation-greenness"/>
      <w:bookmarkEnd w:id="44"/>
      <w:r>
        <w:t xml:space="preserve">Vegetation Greenness</w:t>
      </w:r>
    </w:p>
    <w:p>
      <w:pPr>
        <w:pStyle w:val="FirstParagraph"/>
      </w:pPr>
      <w:r>
        <w:t xml:space="preserve">Trends analysis showed that 78.9 % of the pixels of</w:t>
      </w:r>
      <w:r>
        <w:t xml:space="preserve"> </w:t>
      </w:r>
      <w:r>
        <w:rPr>
          <w:i/>
        </w:rPr>
        <w:t xml:space="preserve">Quercus pyrenaica</w:t>
      </w:r>
      <w:r>
        <w:t xml:space="preserve"> </w:t>
      </w:r>
      <w:r>
        <w:t xml:space="preserve">forests experienced an EVI positive trend for the 2000-2016 period, of which 31.67 % were significant trends. The strongest trends were observed in southwestern populations (Figure S1). Vegetation greenness of</w:t>
      </w:r>
      <w:r>
        <w:t xml:space="preserve"> </w:t>
      </w:r>
      <w:r>
        <w:rPr>
          <w:i/>
        </w:rPr>
        <w:t xml:space="preserve">Q. pyrenaica</w:t>
      </w:r>
      <w:r>
        <w:t xml:space="preserve"> </w:t>
      </w:r>
      <w:r>
        <w:t xml:space="preserve">forests were lower during both the 2005 and 2012 years than the greenness observed for the reference period (Figure 2a). The lowest values for EVI standardized anomalies were recorded in 2005 being singnificantly lower (-2.285 ± 0.029) than 2012 (-0.418 ± 0.029) (LSMEANS, t.ratio = -45.358; p_value &lt; 0.0001), particularly for northern populations (Figure 2b). Reduction in annual EVI mean was considerably higher in northern populations than in southern ones during the 2005 drought (Figure 2b).</w:t>
      </w:r>
    </w:p>
    <w:p>
      <w:pPr>
        <w:pStyle w:val="Textodecuerpo"/>
      </w:pPr>
      <w:r>
        <w:t xml:space="preserve">According to the standardized anomalies,</w:t>
      </w:r>
      <w:r>
        <w:t xml:space="preserve"> </w:t>
      </w:r>
      <w:r>
        <w:rPr>
          <w:i/>
        </w:rPr>
        <w:t xml:space="preserve">Q. pyrenaica</w:t>
      </w:r>
      <w:r>
        <w:t xml:space="preserve"> </w:t>
      </w:r>
      <w:r>
        <w:t xml:space="preserve">forests suffered a browning during 2005 drought event (99.36 % and 79.37 % of the pixels for northern and southern populations respectively), however no changes were observed for the 2012 drought (Figure S2).</w:t>
      </w:r>
    </w:p>
    <w:p>
      <w:pPr>
        <w:pStyle w:val="Ttulo2"/>
      </w:pPr>
      <w:bookmarkStart w:id="45" w:name="responses-to-drougth-greenness"/>
      <w:bookmarkEnd w:id="45"/>
      <w:r>
        <w:t xml:space="preserve">Responses to drougth: greenness</w:t>
      </w:r>
    </w:p>
    <w:p>
      <w:pPr>
        <w:pStyle w:val="FirstParagraph"/>
      </w:pPr>
      <w:r>
        <w:rPr>
          <w:i/>
        </w:rPr>
        <w:t xml:space="preserve">Q. pyrenaica</w:t>
      </w:r>
      <w:r>
        <w:t xml:space="preserve"> </w:t>
      </w:r>
      <w:r>
        <w:t xml:space="preserve">forest showed significantly lower resistance to 2005 drought event than to 2012 one (Table 3; Figure 3a). The 2005 drought reduced the greenness of oak to 85.8 % while the 2012 reduced 94.3 % (Table S1). Southern populations showed significantly higher values of resistance to drought than northern ones (Table 3), except for 2012 where non-significant differences were recorded (Table S1. Figures 3a, 4a).</w:t>
      </w:r>
    </w:p>
    <w:p>
      <w:pPr>
        <w:pStyle w:val="Textodecuerpo"/>
      </w:pPr>
      <w:r>
        <w:t xml:space="preserve">The oak forests recovered their greenness significantly more rapidly after the 2005 drought than after 2012 (Tables 3, S1). In the period after 2005 drought, greeness achieved was 112 % (Rc = 1.12) and after 2012 was 105.7 % (Rc = 1.057) (Table S1). A similar recovery after the 2005 and 2012 drought event was observed for southern populations (p = 0.2453; Figure 4a), whilst the northern populations showed a significantly greater recovery after the 2005 drought than after the 2012 drought (Figure 4a).</w:t>
      </w:r>
    </w:p>
    <w:p>
      <w:pPr>
        <w:pStyle w:val="Textodecuerpo"/>
      </w:pPr>
      <w:r>
        <w:t xml:space="preserve">Resilience values were significantly higher for the 2012 drought event than for 2005 (Tables 3, S1), although both values were close to 1 indicating that greenness level was rather similar after each disturbance event (Table S1). The southern populations showed higher resilience values than the northern ones, although they were not significantly different for 2005 drought (p = 0.036; Figures 3a, 4a).</w:t>
      </w:r>
    </w:p>
    <w:p>
      <w:pPr>
        <w:pStyle w:val="Ttulo2"/>
      </w:pPr>
      <w:bookmarkStart w:id="46" w:name="responses-to-drougth-tree-growth-bai"/>
      <w:bookmarkEnd w:id="46"/>
      <w:r>
        <w:t xml:space="preserve">Responses to drougth: tree-growth (BAI)</w:t>
      </w:r>
    </w:p>
    <w:p>
      <w:pPr>
        <w:pStyle w:val="FirstParagraph"/>
      </w:pPr>
      <w:r>
        <w:t xml:space="preserve">Although no significant differences were observed in the resistance of the oak growth to both drought events (Table 3; Figure 3b), the 2005 drought reduced growth more than 2012 did (Rt = 0.721 and 0.819 respectively) (Table S2). Northern population showed resistance values lower than southern ones, especially for 2005 drought event where the growth was reduced to 44.5 % of the preceding period (Figures 3b, 4b).</w:t>
      </w:r>
    </w:p>
    <w:p>
      <w:pPr>
        <w:pStyle w:val="Textodecuerpo"/>
      </w:pPr>
      <w:r>
        <w:t xml:space="preserve">Oak forests recovered their growth more rapidly after 2012 than after 2005 staying at levels of Rc &lt; 1 (Table S2). Norhtern populations showed signigicantly higher values of recovery than southern ones (Tables 3, S2), which even not reach recovery values of Rc = 1 (Figure 3b, 4b).</w:t>
      </w:r>
    </w:p>
    <w:p>
      <w:pPr>
        <w:pStyle w:val="Textodecuerpo"/>
      </w:pPr>
      <w:r>
        <w:t xml:space="preserve">Significantly higher values of resilience of growth were observerd for the 2012 drought event than for the 2005 one (Table S2; Figure 4b). We found no differences of resilience values for growth between northern and southern populations (Table 3). For 2005 drought event the resilience of northern population was lower than southern ones, but opposite pattern was found for the 2012 drought event, with northern population showing values greater than unity (Figure 3b).</w:t>
      </w:r>
    </w:p>
    <w:p>
      <w:pPr>
        <w:pStyle w:val="Ttulo1"/>
      </w:pPr>
      <w:bookmarkStart w:id="47" w:name="chronology"/>
      <w:bookmarkEnd w:id="47"/>
      <w:r>
        <w:t xml:space="preserve">Chronology</w:t>
      </w:r>
    </w:p>
    <w:p>
      <w:pPr>
        <w:pStyle w:val="FirstParagraph"/>
      </w:pPr>
      <w:r>
        <w:t xml:space="preserve">The trees of the southern population were older and larger than northern ones, particularly for the high elevation site (Ca-High) which had bigger and taller trees than the other sites (Tables 1, 2). Competence indices were similar among sites (Table 1). The basal area increment (BAI) were different between sites (Figure 5). El sitio mas elevado (Ca-High) mostró mayores valores de BAI que los otros sitios, mostrando además una tendencia positiva a partir de 1970. Se observan diferencias en cuanto al crecimiento entre los sitios de las poblaciones del sur. Ca_Low se parece en crecimiento mas a SJ que a Ca_High.</w:t>
      </w:r>
    </w:p>
    <w:p>
      <w:pPr>
        <w:pStyle w:val="Textodecuerpo"/>
      </w:pP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extodecuerpo"/>
      </w:pPr>
      <w:r>
        <w:t xml:space="preserve">and higher values of tree-growth (Table 2).</w:t>
      </w:r>
    </w:p>
    <w:p>
      <w:pPr>
        <w:pStyle w:val="Textodecuerpo"/>
      </w:pPr>
      <w:r>
        <w:t xml:space="preserve">El sitio caH mostró además los mayores valores de AR(1) y de MS</w:t>
      </w:r>
    </w:p>
    <w:p>
      <w:pPr>
        <w:pStyle w:val="Textodecuerpo"/>
      </w:pPr>
      <w:r>
        <w:t xml:space="preserve">El sitio del norte, mostró mayores valores de MS (Table 2). ¿esto sugiere que este sitio tiene una alta limitación climática?</w:t>
      </w:r>
    </w:p>
    <w:p>
      <w:pPr>
        <w:pStyle w:val="Textodecuerpo"/>
      </w:pPr>
      <w:r>
        <w:t xml:space="preserve">Different growth trends were observed for each site (Figure 5). Ca-High (the highest elevation site) had higher values of tree growth than the other sites.</w:t>
      </w:r>
    </w:p>
    <w:p>
      <w:pPr>
        <w:pStyle w:val="Ttulo1"/>
      </w:pPr>
      <w:bookmarkStart w:id="48" w:name="climate-and-tree"/>
      <w:bookmarkEnd w:id="48"/>
      <w:r>
        <w:t xml:space="preserve">Climate and tree</w:t>
      </w:r>
    </w:p>
    <w:p>
      <w:pPr>
        <w:pStyle w:val="FirstParagraph"/>
      </w:pPr>
      <w:r>
        <w:t xml:space="preserve">Tree-growth exhibited a significant response to water availability more than to the temperatures. Cumulative precipitation of the hydrological year (September of the previous year to August of the growth year) influenced positively the tree-growth for the both northern and southern populations (FIG ). Precipitation of previous december was also positively correlated with tree growth in the northern population and in the highest location of the southern population. Hydrological, Spring and Summer SPEI showed a strong positive correlation with tree-growth, specially for northern population. Spring Maximum temperature was the most significant limitation of the tree-growth for the southern population while maximum temperatures of the previous August did for the northern one. Conversely, mean, minimum and maximum temperatures of current September positively influenced the tree-growth in the northern population.</w:t>
      </w:r>
    </w:p>
    <w:p>
      <w:pPr>
        <w:pStyle w:val="Ttulo1"/>
      </w:pPr>
      <w:bookmarkStart w:id="49" w:name="disturbance"/>
      <w:bookmarkEnd w:id="49"/>
      <w:r>
        <w:t xml:space="preserve">Disturbance</w:t>
      </w:r>
    </w:p>
    <w:p>
      <w:pPr>
        <w:pStyle w:val="FirstParagraph"/>
      </w:pPr>
      <w:r>
        <w:t xml:space="preserve">En las poblaciones del norte osbervamos dos eventos de PGC por encima del 25 e incluso el 50 %. El primero de ellos desde 1940 hasta 1950, mientras que el segundo entre 1994 y 2001. Estos periodos se alternan con periodos de NGC: previo 1940, 1960 - 1991, y quizá aunque no lo vemos en al actualidad (?? duda. Esto es especular un poco). Esto responde creo que a:</w:t>
      </w:r>
    </w:p>
    <w:p>
      <w:pPr>
        <w:pStyle w:val="Compact"/>
        <w:numPr>
          <w:numId w:val="1011"/>
          <w:ilvl w:val="0"/>
        </w:numPr>
      </w:pPr>
      <w:r>
        <w:t xml:space="preserve">actividad minera y tratamientos forestales. La actividad minera en la zona fue intensa (aunque a veces intermitente, entre 1890 y 1957 (cuando se clausuró); y previamente desde 1858 tras los trabajos de Amalio Maestre). Hay costancia de la existencia de hornos de fundición de mineral en alguna de las minas (La Probadora).</w:t>
      </w:r>
    </w:p>
    <w:p>
      <w:pPr>
        <w:pStyle w:val="Compact"/>
        <w:numPr>
          <w:numId w:val="1011"/>
          <w:ilvl w:val="0"/>
        </w:numPr>
      </w:pPr>
      <w:r>
        <w:t xml:space="preserve">actividades forestales:</w:t>
      </w:r>
    </w:p>
    <w:p>
      <w:pPr>
        <w:pStyle w:val="Compact"/>
        <w:numPr>
          <w:numId w:val="1012"/>
          <w:ilvl w:val="0"/>
        </w:numPr>
      </w:pPr>
      <w:r>
        <w:t xml:space="preserve">Se conoce la existencia de un proyecto redactado en 1943 de repoblación forestal de la cabecera del río Genil (he pedido los mapas).</w:t>
      </w:r>
    </w:p>
    <w:p>
      <w:pPr>
        <w:pStyle w:val="Compact"/>
        <w:numPr>
          <w:numId w:val="1012"/>
          <w:ilvl w:val="0"/>
        </w:numPr>
      </w:pPr>
      <w:r>
        <w:t xml:space="preserve">Ver actividades forestales (bd proyectos de gestión)</w:t>
      </w:r>
    </w:p>
    <w:p>
      <w:pPr>
        <w:pStyle w:val="FirstParagraph"/>
      </w:pPr>
      <w:r>
        <w:t xml:space="preserve">En el trabajo de</w:t>
      </w:r>
      <w:r>
        <w:t xml:space="preserve"> </w:t>
      </w:r>
      <w:r>
        <w:t xml:space="preserve">(Gea-Izquierdo and Cañellas 2014)</w:t>
      </w:r>
      <w:r>
        <w:t xml:space="preserve"> </w:t>
      </w:r>
      <w:r>
        <w:t xml:space="preserve">se observa una liberación posterior a 1950 (QPUY9) (entre 1950 y 1960 aprox.) y luego una supresión hasta mediados de 1990. Esto coincide con lo que hemos observado en nuestra chrono.</w:t>
      </w:r>
    </w:p>
    <w:p>
      <w:pPr>
        <w:pStyle w:val="Textodecuerpo"/>
      </w:pPr>
      <w:r>
        <w:t xml:space="preserve">Respecto a las poblaciones del sur, destaca en la caH una primera liberación en torno a 1829-1830 y 1837-1840; y luego predominan los eventos de supresión que se alternan con algunos de liberación (muy débiles) hastas 1950. Posteriormente se alternan liberaciones-supresiones débiles. Destaca una liberación en torno a 2000-2003 (relación con clima??? posterior a sequía 1999???)</w:t>
      </w:r>
    </w:p>
    <w:p>
      <w:pPr>
        <w:pStyle w:val="Textodecuerpo"/>
      </w:pPr>
      <w:r>
        <w:t xml:space="preserve">En caL, observamos un periodod de limitación hasta 1885 aprox. Luego se alternan al igual que antes periodos de liberación con otos de supresión con señales más fuertes que en caL, y al igual que antes destaca con mas intensidad si cabe, una liberación entre 2000 y 2003 (antrópico o climática ??)</w:t>
      </w:r>
    </w:p>
    <w:p>
      <w:pPr>
        <w:pStyle w:val="Textodecuerpo"/>
      </w:pPr>
      <w:r>
        <w:t xml:space="preserve">Duda: ocurre en los dos sitios caL y caH, entonces, es aumento de crecimiento debido a actuación forestal? o debido a clima??</w:t>
      </w:r>
    </w:p>
    <w:p>
      <w:pPr>
        <w:pStyle w:val="Textodecuerpo"/>
      </w:pPr>
      <w:r>
        <w:t xml:space="preserve">(Gea-Izquierdo and Cañellas 2014)</w:t>
      </w:r>
      <w:r>
        <w:t xml:space="preserve"> </w:t>
      </w:r>
      <w:r>
        <w:t xml:space="preserve">encontró un pico de disturbance en torno a 1860 en QUPY10 (cañar) sugiriendo que la baja densidad en esos sitios fue presumible el resultado de un thinning (aclareo). El patrón de supresión que observa para este sitio va en la linea de lo que nosotros encontramos (supresiones que alcanzan a veces el 25 % y otras no)</w:t>
      </w:r>
    </w:p>
    <w:p>
      <w:pPr>
        <w:pStyle w:val="Textodecuerpo"/>
      </w:pPr>
      <w:r>
        <w:t xml:space="preserve">En cuanto a la señal a nivel de sitio, para el Norte, vemos que tanto las supresiones como las liberaciones se observan para mas del 50 % de los árboles. En el caso del sur, vemos que algunas supresiones se observan para mas del 50 % de los árboles, mientras que las liberaciones observadas en torno a los 2000 se observan para mas del 50 % de los árboles</w:t>
      </w:r>
    </w:p>
    <w:p>
      <w:pPr>
        <w:pStyle w:val="Textodecuerpo"/>
      </w:pPr>
      <w:r>
        <w:t xml:space="preserve">notas para discusión</w:t>
      </w:r>
    </w:p>
    <w:p>
      <w:pPr>
        <w:pStyle w:val="Textodecuerpo"/>
      </w:pPr>
      <w:r>
        <w:t xml:space="preserve">En ambos casos (evi y bai) la sequía de 2005 y de 2012 redujeron el greenness y el crecimiento. Además en ambos casos la sequía de 2005 redujo mas la variable, sin embargo, para el greenness si existen diferencias entre ambos eventos de sequía, mientras que para el crecimiento no. Por tanto podemos decir que se ha reducido el greennes pero para el crecimiento esto está mas amortiguado.</w:t>
      </w:r>
    </w:p>
    <w:p>
      <w:pPr>
        <w:pStyle w:val="Textodecuerpo"/>
      </w:pPr>
      <w:r>
        <w:t xml:space="preserve">Al explorar la resistencia por sitio y drought se observa una curiosidad. La resistencia de los robledales de CaLow se mantiene casi igual. La de la cara norte (SJ) sufre mucho en 2005 y luego se recupera un poco. La de caH presenta menor resistencia en 2012 que en 2005 (y eso llama la atención)</w:t>
      </w:r>
    </w:p>
    <w:p>
      <w:pPr>
        <w:pStyle w:val="Ttulo2"/>
      </w:pPr>
      <w:bookmarkStart w:id="50" w:name="references-1"/>
      <w:bookmarkEnd w:id="50"/>
      <w:r>
        <w:t xml:space="preserve">References</w:t>
      </w:r>
    </w:p>
    <w:p>
      <w:pPr>
        <w:pStyle w:val="Ttulo1"/>
      </w:pPr>
      <w:bookmarkStart w:id="51" w:name="discussions-notes"/>
      <w:bookmarkEnd w:id="51"/>
      <w:r>
        <w:t xml:space="preserve">Discussions notes</w:t>
      </w:r>
    </w:p>
    <w:p>
      <w:pPr>
        <w:pStyle w:val="Ttulo2"/>
      </w:pPr>
      <w:bookmarkStart w:id="52" w:name="greenness"/>
      <w:bookmarkEnd w:id="52"/>
      <w:r>
        <w:t xml:space="preserve">Greenness</w:t>
      </w:r>
    </w:p>
    <w:p>
      <w:pPr>
        <w:pStyle w:val="Compact"/>
        <w:numPr>
          <w:numId w:val="1013"/>
          <w:ilvl w:val="0"/>
        </w:numPr>
      </w:pPr>
      <w:r>
        <w:t xml:space="preserve">Aproximadamete el x% de los robledales mostraron un incremento en los valores de productividad (greenees) … (relacionar con tendencias EVI y ontologias).</w:t>
      </w:r>
    </w:p>
    <w:p>
      <w:pPr>
        <w:numPr>
          <w:numId w:val="1013"/>
          <w:ilvl w:val="0"/>
        </w:numPr>
      </w:pPr>
      <w:r>
        <w:t xml:space="preserve">tendencias ontologias</w:t>
      </w:r>
    </w:p>
    <w:p>
      <w:pPr>
        <w:numPr>
          <w:numId w:val="1013"/>
          <w:ilvl w:val="0"/>
        </w:numPr>
      </w:pPr>
      <w:r>
        <w:t xml:space="preserve">Si analizamos el plot de trajectorias (evi medio anual), vemos como en 2005 y 2012 se observó un browning para los valores medios de EVI. En ambos casos, se observó un patrón homogéneo de browing, aunque en 2012 el browning fue mucho menor.</w:t>
      </w:r>
    </w:p>
    <w:p>
      <w:pPr>
        <w:pStyle w:val="Ttulo2"/>
      </w:pPr>
      <w:bookmarkStart w:id="53" w:name="dos-cronos-en-canar"/>
      <w:bookmarkEnd w:id="53"/>
      <w:r>
        <w:t xml:space="preserve"> Dos cronos en Cañar</w:t>
      </w:r>
    </w:p>
    <w:p>
      <w:pPr>
        <w:pStyle w:val="Compact"/>
        <w:numPr>
          <w:numId w:val="1014"/>
          <w:ilvl w:val="0"/>
        </w:numPr>
      </w:pPr>
      <w:r>
        <w:t xml:space="preserve">Gea-Izquierdo and Cañellas (2014)</w:t>
      </w:r>
      <w:r>
        <w:t xml:space="preserve"> </w:t>
      </w:r>
      <w:r>
        <w:t xml:space="preserve">muestrea solo en CA-Low (QUPY10) y obtiene resultados similares a CA-Low.</w:t>
      </w:r>
    </w:p>
    <w:p>
      <w:pPr>
        <w:pStyle w:val="Compact"/>
        <w:numPr>
          <w:numId w:val="1014"/>
          <w:ilvl w:val="0"/>
        </w:numPr>
      </w:pPr>
      <w:r>
        <w:t xml:space="preserve">En tan poco espacio hay diferencias enormes entre las dos cronos</w:t>
      </w:r>
    </w:p>
    <w:p>
      <w:pPr>
        <w:pStyle w:val="Compact"/>
        <w:numPr>
          <w:numId w:val="1014"/>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54" w:name="reduccion-crecimiento-y-sequias"/>
      <w:bookmarkEnd w:id="54"/>
      <w:r>
        <w:t xml:space="preserve">Reducción crecimiento y sequías</w:t>
      </w:r>
    </w:p>
    <w:p>
      <w:pPr>
        <w:pStyle w:val="FirstParagraph"/>
      </w:pPr>
      <w:r>
        <w:t xml:space="preserve">Se observó una gran reducción de crecimiento en 1994-1995, 1999 y 2005 para Pinus nigra en el SE de Andalusia</w:t>
      </w:r>
      <w:r>
        <w:t xml:space="preserve"> </w:t>
      </w:r>
      <w:r>
        <w:t xml:space="preserve">(Sánchez-Salguero et al. 2013)</w:t>
      </w:r>
      <w:r>
        <w:t xml:space="preserve"> </w:t>
      </w:r>
      <w:r>
        <w:t xml:space="preserve">coincidiendo con años de sequía para esa zona. La máxima reducción en crecimiento fue observada para 2005, siendo significativamente mayor que para el resto de años</w:t>
      </w:r>
      <w:r>
        <w:t xml:space="preserve"> </w:t>
      </w:r>
      <w:r>
        <w:t xml:space="preserve">(Sánchez-Salguero et al. 2013)</w:t>
      </w:r>
      <w:r>
        <w:t xml:space="preserve">.</w:t>
      </w:r>
    </w:p>
    <w:p>
      <w:pPr>
        <w:pStyle w:val="Ttulo2"/>
      </w:pPr>
      <w:bookmarkStart w:id="55" w:name="dendro"/>
      <w:bookmarkEnd w:id="55"/>
      <w:r>
        <w:t xml:space="preserve">Dendro</w:t>
      </w:r>
    </w:p>
    <w:p>
      <w:pPr>
        <w:pStyle w:val="Ttulo3"/>
      </w:pPr>
      <w:bookmarkStart w:id="56" w:name="diferencias-crecimiento-entre-sitios."/>
      <w:bookmarkEnd w:id="56"/>
      <w:r>
        <w:t xml:space="preserve">Diferencias crecimiento entre sitios.</w:t>
      </w:r>
    </w:p>
    <w:p>
      <w:pPr>
        <w:pStyle w:val="FirstParagraph"/>
      </w:pPr>
      <w:r>
        <w:t xml:space="preserve">Mayor crecimiento en los robles situados en CaHigh. Sorprende que en el rear edge de la distribución de la especie, en la cara sur dentro de este rear edge, y en la parte mas alta (estas parcelas están en el treeline de la especie en SN) es donde encontramos mayores crecimientos. Parece que los robles estuvieran mejor en esta zona. Algunas reflexiones</w:t>
      </w:r>
    </w:p>
    <w:p>
      <w:pPr>
        <w:pStyle w:val="Compact"/>
        <w:numPr>
          <w:numId w:val="1015"/>
          <w:ilvl w:val="0"/>
        </w:numPr>
      </w:pPr>
      <w:r>
        <w:t xml:space="preserve">Quizá están creciendo donde les están dejando (menor impacto antrópico)</w:t>
      </w:r>
    </w:p>
    <w:p>
      <w:pPr>
        <w:pStyle w:val="Compact"/>
        <w:numPr>
          <w:numId w:val="1015"/>
          <w:ilvl w:val="0"/>
        </w:numPr>
      </w:pPr>
      <w:r>
        <w:t xml:space="preserve">¿Menor estrés hídrico en zonas mas altas?</w:t>
      </w:r>
    </w:p>
    <w:p>
      <w:pPr>
        <w:numPr>
          <w:numId w:val="1015"/>
          <w:ilvl w:val="0"/>
        </w:numPr>
      </w:pPr>
      <w:r>
        <w:t xml:space="preserve">¿Diferencias entre suelos? (ver artículo</w:t>
      </w:r>
      <w:r>
        <w:t xml:space="preserve"> </w:t>
      </w:r>
      <w:r>
        <w:t xml:space="preserve">(“Taxonomic and functional diversity of a quercus pyrenaica willd. rhizospheric microbiome in the mediterranean mountains” 2017)</w:t>
      </w:r>
      <w:r>
        <w:t xml:space="preserve"> </w:t>
      </w:r>
      <w:r>
        <w:t xml:space="preserve">que compara suelos de Cáñar). En este estudio sobre microbiota del suelo, analizó tres sitios: por encima del treline (XZF), low altitudinal oak forest (LAF) and high altitudinal oak forest (HAF). LAF está mucho mas bajo, pero HAF está cerca de las parcelas caHigh y encontró lo siguiente:</w:t>
      </w:r>
    </w:p>
    <w:p>
      <w:pPr>
        <w:pStyle w:val="Compact"/>
        <w:numPr>
          <w:numId w:val="1015"/>
          <w:ilvl w:val="0"/>
        </w:numPr>
      </w:pPr>
      <w:r>
        <w:t xml:space="preserve">tipo de suelo: LAF es Sandy-loam, HAF es loam</w:t>
      </w:r>
    </w:p>
    <w:p>
      <w:pPr>
        <w:pStyle w:val="Compact"/>
        <w:numPr>
          <w:numId w:val="1015"/>
          <w:ilvl w:val="0"/>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w:t>
      </w:r>
    </w:p>
    <w:p>
      <w:pPr>
        <w:pStyle w:val="Compact"/>
        <w:numPr>
          <w:numId w:val="1015"/>
          <w:ilvl w:val="0"/>
        </w:numPr>
      </w:pPr>
      <w:r>
        <w:t xml:space="preserve">Los tres sitios eran pobres en materia orgánica, pero el HAF dobló los valores de los otros dos sitios</w:t>
      </w:r>
    </w:p>
    <w:p>
      <w:pPr>
        <w:numPr>
          <w:numId w:val="1015"/>
          <w:ilvl w:val="0"/>
        </w:numPr>
      </w:pPr>
      <w:r>
        <w:t xml:space="preserve">No diferencias en contenido de N, C/N ratio similares en HAF, y LAF</w:t>
      </w:r>
    </w:p>
    <w:p>
      <w:pPr>
        <w:pStyle w:val="FirstParagraph"/>
      </w:pPr>
      <w:r>
        <w:t xml:space="preserve">Sorprende que en Cáñar haya diferencias tan grandes de crecimiento estándo tan cerca. ¿Puede estar relacionado con intensidad de uso antrópico? De hecho la Ca-Low tiene crecimientos similares a SJ.</w:t>
      </w:r>
    </w:p>
    <w:p>
      <w:pPr>
        <w:pStyle w:val="Ttulo2"/>
      </w:pPr>
      <w:bookmarkStart w:id="57" w:name="relaciones-crecimiento-clima-en-otras-especies"/>
      <w:bookmarkEnd w:id="57"/>
      <w:r>
        <w:t xml:space="preserve">Relaciones crecimiento-clima en otras especies</w:t>
      </w:r>
    </w:p>
    <w:p>
      <w:pPr>
        <w:pStyle w:val="Ttulo2"/>
      </w:pPr>
      <w:bookmarkStart w:id="58" w:name="references-2"/>
      <w:bookmarkEnd w:id="58"/>
      <w:r>
        <w:t xml:space="preserve">References</w:t>
      </w:r>
    </w:p>
    <w:p>
      <w:pPr>
        <w:pStyle w:val="Ttulo1"/>
      </w:pPr>
      <w:bookmarkStart w:id="59" w:name="supplementary"/>
      <w:bookmarkEnd w:id="59"/>
      <w:r>
        <w:t xml:space="preserve">Supplementary</w:t>
      </w:r>
    </w:p>
    <w:p>
      <w:pPr>
        <w:pStyle w:val="Ttulo2"/>
      </w:pPr>
      <w:bookmarkStart w:id="60" w:name="figures"/>
      <w:bookmarkEnd w:id="60"/>
      <w:r>
        <w:t xml:space="preserve">Figures</w:t>
      </w:r>
    </w:p>
    <w:p>
      <w:pPr>
        <w:pStyle w:val="FirstParagraph"/>
      </w:pPr>
      <w:r>
        <w:rPr>
          <w:b/>
        </w:rPr>
        <w:t xml:space="preserve">Figure S1</w:t>
      </w:r>
      <w:r>
        <w:t xml:space="preserve">. Spatial distribution of the EVI-annual trends (</w:t>
      </w:r>
      <m:oMath>
        <m:r>
          <m:t>τ</m:t>
        </m:r>
      </m:oMath>
      <w:r>
        <w:t xml:space="preserve">) for the period 2000-2016. Negative values (</w:t>
      </w:r>
      <w:r>
        <w:rPr>
          <w:i/>
        </w:rPr>
        <w:t xml:space="preserve">red</w:t>
      </w:r>
      <w:r>
        <w:t xml:space="preserve"> </w:t>
      </w:r>
      <w:r>
        <w:t xml:space="preserve">values) indicate negative trends and positive values (</w:t>
      </w:r>
      <w:r>
        <w:rPr>
          <w:i/>
        </w:rPr>
        <w:t xml:space="preserve">green</w:t>
      </w:r>
      <w:r>
        <w:t xml:space="preserve"> </w:t>
      </w:r>
      <w:r>
        <w:t xml:space="preserve">values) indicate positive trends.</w:t>
      </w:r>
    </w:p>
    <w:p>
      <w:pPr>
        <w:pStyle w:val="Figure"/>
      </w:pPr>
      <w:r>
        <w:drawing>
          <wp:inline>
            <wp:extent cx="5943600" cy="4245428"/>
            <wp:effectExtent b="0" l="0" r="0" t="0"/>
            <wp:docPr descr="" id="1" name="Picture"/>
            <a:graphic>
              <a:graphicData uri="http://schemas.openxmlformats.org/drawingml/2006/picture">
                <pic:pic>
                  <pic:nvPicPr>
                    <pic:cNvPr descr="../analysis/evi/compute_MannKendall_evimean_files/figure-markdown_github/rater_map_tau_EVI-1.png" id="0" name="Picture"/>
                    <pic:cNvPicPr>
                      <a:picLocks noChangeArrowheads="1" noChangeAspect="1"/>
                    </pic:cNvPicPr>
                  </pic:nvPicPr>
                  <pic:blipFill>
                    <a:blip r:embed="rId61"/>
                    <a:stretch>
                      <a:fillRect/>
                    </a:stretch>
                  </pic:blipFill>
                  <pic:spPr bwMode="auto">
                    <a:xfrm>
                      <a:off x="0" y="0"/>
                      <a:ext cx="5943600" cy="4245428"/>
                    </a:xfrm>
                    <a:prstGeom prst="rect">
                      <a:avLst/>
                    </a:prstGeom>
                    <a:noFill/>
                    <a:ln w="9525">
                      <a:noFill/>
                      <a:headEnd/>
                      <a:tailEnd/>
                    </a:ln>
                  </pic:spPr>
                </pic:pic>
              </a:graphicData>
            </a:graphic>
          </wp:inline>
        </w:drawing>
      </w:r>
    </w:p>
    <w:p>
      <w:pPr>
        <w:pStyle w:val="FirstParagraph"/>
      </w:pPr>
      <w:r>
        <w:rPr>
          <w:b/>
        </w:rPr>
        <w:t xml:space="preserve">Figure S2.</w:t>
      </w:r>
      <w:r>
        <w:t xml:space="preserve"> </w:t>
      </w:r>
      <w:r>
        <w:t xml:space="preserve">Percentage of pixels showing browning, greenning or no-changes during the 2005 and 2012 droguht events according to EVI standardized anomalies.</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29-1.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Textodecuerpo"/>
      </w:pPr>
      <w:r>
        <w:rPr>
          <w:b/>
        </w:rPr>
        <w:t xml:space="preserve">Figure S3.</w:t>
      </w:r>
      <w:r>
        <w:t xml:space="preserve"> </w:t>
      </w:r>
      <w:r>
        <w:t xml:space="preserve">Correlation</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30-1.png" id="0"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Didan, K. 2015. MOD13Q1 MODIS/Terra Vegetation Indices 16-Day L3 Global 250m SIN Grid V006. NASA EOSDIS Land Processes DAAC.</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Dunn, O. 1964. Multiple comparisons using rank sums. Technometrics 6:241–252.</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Pérez-Luque, A. J., R. Zamora, F. J. Bonet, and R. Pérez-Pérez. 2015. Dataset of migrame project (global change, altitudinal range shift and colonization of degraded habitats in mediterranean mountains). PhytoKeys 56:61–81.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b5a1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96f9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12a5085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4" Target="doi:10.1038/nature11688" TargetMode="External" /><Relationship Type="http://schemas.openxmlformats.org/officeDocument/2006/relationships/hyperlink" Id="rId39" Target="http://monitordesequia.csic.es/" TargetMode="External" /><Relationship Type="http://schemas.openxmlformats.org/officeDocument/2006/relationships/hyperlink" Id="rId26" Target="http://www.mdpi.com/2072-4292/9/3/193" TargetMode="External" /><Relationship Type="http://schemas.openxmlformats.org/officeDocument/2006/relationships/hyperlink" Id="rId38" Target="http://www.meteo.unican.es/en/climate4R" TargetMode="External" /><Relationship Type="http://schemas.openxmlformats.org/officeDocument/2006/relationships/hyperlink" Id="rId32"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nature11688" TargetMode="External" /><Relationship Type="http://schemas.openxmlformats.org/officeDocument/2006/relationships/hyperlink" Id="rId39" Target="http://monitordesequia.csic.es/" TargetMode="External" /><Relationship Type="http://schemas.openxmlformats.org/officeDocument/2006/relationships/hyperlink" Id="rId26" Target="http://www.mdpi.com/2072-4292/9/3/193" TargetMode="External" /><Relationship Type="http://schemas.openxmlformats.org/officeDocument/2006/relationships/hyperlink" Id="rId38" Target="http://www.meteo.unican.es/en/climate4R" TargetMode="External" /><Relationship Type="http://schemas.openxmlformats.org/officeDocument/2006/relationships/hyperlink" Id="rId32"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2018-01-26T15:01:11Z</dcterms:created>
  <dcterms:modified xsi:type="dcterms:W3CDTF">2018-01-26T15:01:11Z</dcterms:modified>
</cp:coreProperties>
</file>