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Compact"/>
        <w:numPr>
          <w:numId w:val="1001"/>
          <w:ilvl w:val="0"/>
        </w:numPr>
      </w:pPr>
      <w:r>
        <w:t xml:space="preserve">Analysing the impact of drought on tree growth is therefore a priority under the current climatic conditions, in which global warming is probably increasing the severity of droughts (Williams et al., 2013).</w:t>
      </w:r>
    </w:p>
    <w:p>
      <w:pPr>
        <w:pStyle w:val="FirstParagraph"/>
      </w:pPr>
      <w:r>
        <w:t xml:space="preserve">En este estudio combinamos el uso de datos de dendrocronologia con información de productividad procedente de satélite. Por un lado, sabemos que el annual radial growth increment se utiliza como proxy para estudiar la forest vitality</w:t>
      </w:r>
      <w:r>
        <w:t xml:space="preserve"> </w:t>
      </w:r>
      <w:r>
        <w:t xml:space="preserve">(Fritts 1976, Dobbertin 2005)</w:t>
      </w:r>
      <w:r>
        <w:t xml:space="preserve">; por otro lado el EVI para productividad …</w:t>
      </w:r>
    </w:p>
    <w:p>
      <w:pPr>
        <w:numPr>
          <w:numId w:val="1002"/>
          <w:ilvl w:val="0"/>
        </w:numPr>
      </w:pPr>
      <w:r>
        <w:t xml:space="preserve">Diferentes estudios sugieren que, a consecuencia del cambio climático, se incrementará la severidad, la extensión geográfica y la frecuencia de las sequías</w:t>
      </w:r>
      <w:r>
        <w:t xml:space="preserve"> </w:t>
      </w:r>
      <w:r>
        <w:t xml:space="preserve">(Dai 2011, Trenberth et al. 2014)</w:t>
      </w:r>
    </w:p>
    <w:p>
      <w:pPr>
        <w:numPr>
          <w:numId w:val="1002"/>
          <w:ilvl w:val="0"/>
        </w:numPr>
      </w:pPr>
      <w:r>
        <w:t xml:space="preserve">Proyeccciones de crecimeinto de para</w:t>
      </w:r>
      <w:r>
        <w:t xml:space="preserve"> </w:t>
      </w:r>
      <w:r>
        <w:rPr>
          <w:i/>
        </w:rPr>
        <w:t xml:space="preserve">Q. pyrenaica</w:t>
      </w:r>
      <w:r>
        <w:t xml:space="preserve"> </w:t>
      </w:r>
      <w:r>
        <w:t xml:space="preserve">sugieren un declive en el crecimiento en las proximas decadas a lo largo de su rango de distribución en la P. Iberica, en diferentes escenarios climáticos</w:t>
      </w:r>
      <w:r>
        <w:t xml:space="preserve"> </w:t>
      </w:r>
      <w:r>
        <w:t xml:space="preserve">(Gea-Izquierdo et al. 2013)</w:t>
      </w:r>
      <w:r>
        <w:t xml:space="preserve">: Predictions suggest that QUPY productivity would decline in the next decades all along its distributional range in the Iberian Peninsula for all the climate scenarios studied. Este declive debería ser mas dramático en las baja altitudes de las zonas mas calientes del sur de su distribución</w:t>
      </w:r>
    </w:p>
    <w:p>
      <w:pPr>
        <w:pStyle w:val="FirstParagraph"/>
      </w:pPr>
      <w:r>
        <w:t xml:space="preserve">–&gt; vulnerabilidad local (related to rear-edge)</w:t>
      </w:r>
      <w:r>
        <w:t xml:space="preserve"> </w:t>
      </w:r>
      <w:r>
        <w:t xml:space="preserve">La tendencia de reducción drástica sugerida por el modelo para el dry-edge de la distribución de la especie podría expresar una aumentada vulnerabilidad de los árboles al incremento del estrés hídrico forzado por un clima mas cálido</w:t>
      </w:r>
      <w:r>
        <w:t xml:space="preserve"> </w:t>
      </w:r>
      <w:r>
        <w:t xml:space="preserve">(Gea-Izquierdo et al. 2013)</w:t>
      </w:r>
      <w:r>
        <w:t xml:space="preserve">.</w:t>
      </w:r>
    </w:p>
    <w:p>
      <w:pPr>
        <w:pStyle w:val="Textodecuerpo"/>
      </w:pPr>
      <w:r>
        <w:t xml:space="preserve">Negative trends over recent years and the greater response to moisture availability found at warmer and drier low elevations in the south suggest vulnerability to warming at the local low elevation dry edge of the species’s range (e.g. QUPY9). Otros estudios en la zona Mediterranea reportaron un descenso similar en la productividad con un incremento en la vulterabilidad a la sequía ()</w:t>
      </w:r>
    </w:p>
    <w:p>
      <w:pPr>
        <w:pStyle w:val="Textodecuerpo"/>
      </w:pPr>
      <w:r>
        <w:t xml:space="preserve">… Varios trabajos han apuntado la existencia de vulnerabilidad local al aumento de temperaturas en los sitios del sur de distribución de esta especie</w:t>
      </w:r>
      <w:r>
        <w:t xml:space="preserve"> </w:t>
      </w:r>
      <w:r>
        <w:t xml:space="preserve">(Gea-Izquierdo et al. 2013, Gea-Izquierdo and Cañellas 2014)</w:t>
      </w:r>
      <w:r>
        <w:t xml:space="preserve"> </w:t>
      </w:r>
      <w:r>
        <w:t xml:space="preserve">así como una strong response to moisture availability…; Además teniendo en cuenta que en los últimos años estamos viendo un aumento en las sequías (menor disponibilidad de agua) –&gt; por ello queremos analizar como están respondiendo esta especie, sobre todo en esas zonas dry-egde, y analizar su resiliencia…</w:t>
      </w:r>
    </w:p>
    <w:p>
      <w:pPr>
        <w:pStyle w:val="Textodecuerpo"/>
      </w:pPr>
      <w:r>
        <w:t xml:space="preserve">– Sequías –</w:t>
      </w:r>
    </w:p>
    <w:p>
      <w:pPr>
        <w:pStyle w:val="Textodecuerpo"/>
      </w:pPr>
      <w:r>
        <w:t xml:space="preserve">Drought is a natural phenomenon that occurs when water availability is significantly below-normal levels</w:t>
      </w:r>
      <w:r>
        <w:t xml:space="preserve"> </w:t>
      </w:r>
      <w:r>
        <w:t xml:space="preserve">(Dai 2011)</w:t>
      </w:r>
      <w:r>
        <w:t xml:space="preserve">. Drought occurs over most part of the world and affects ecological systems across every climatic zone worldwide</w:t>
      </w:r>
      <w:r>
        <w:t xml:space="preserve"> </w:t>
      </w:r>
      <w:r>
        <w:t xml:space="preserve">(Mishra and Singh 2010)</w:t>
      </w:r>
      <w:r>
        <w:t xml:space="preserve">, being one of the most economically and ecologically disruptive extreme events affecting millions of people globally</w:t>
      </w:r>
      <w:r>
        <w:t xml:space="preserve"> </w:t>
      </w:r>
      <w:r>
        <w:t xml:space="preserve">(Dai 2011)</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In addition, climate change projections suggest that extreme events, like droughts, will become more frequent and severe</w:t>
      </w:r>
      <w:r>
        <w:t xml:space="preserve"> </w:t>
      </w:r>
      <w:r>
        <w:t xml:space="preserve">(IPCC 2013, Trenberth et al. 2014)</w:t>
      </w:r>
      <w:r>
        <w:t xml:space="preserve"> </w:t>
      </w:r>
      <w:r>
        <w:t xml:space="preserve">particularly for the Mediterranean area</w:t>
      </w:r>
      <w:r>
        <w:t xml:space="preserve"> </w:t>
      </w:r>
      <w:r>
        <w:t xml:space="preserve">(Spinoni et al. 2017b)</w:t>
      </w:r>
      <w:r>
        <w:t xml:space="preserve">.</w:t>
      </w:r>
    </w:p>
    <w:p>
      <w:pPr>
        <w:pStyle w:val="Textodecuerpo"/>
      </w:pPr>
      <w:r>
        <w:t xml:space="preserve">In the Iberian Peninsula, major drought episodies were recorded in 1981, 1995, 2000 and 2005</w:t>
      </w:r>
      <w:r>
        <w:t xml:space="preserve"> </w:t>
      </w:r>
      <w:r>
        <w:t xml:space="preserve">(Vicente-Serrano et al. 2014)</w:t>
      </w:r>
      <w:r>
        <w:t xml:space="preserve">. The 2004/2005 and 2011/2012 hydrological years are considered two of the worst drought periods recorded in the Iberian Peninsula, particularly in the southern sector</w:t>
      </w:r>
      <w:r>
        <w:t xml:space="preserve"> </w:t>
      </w:r>
      <w:r>
        <w:t xml:space="preserve">(García-Herrera et al. 2007, Trigo et al. 2013, Gouveia et al. 2015, Páscoa et al. 2017)</w:t>
      </w:r>
      <w:r>
        <w:t xml:space="preserve">. These events were extreme in both its magnitude and spatial extent</w:t>
      </w:r>
      <w:r>
        <w:t xml:space="preserve"> </w:t>
      </w:r>
      <w:r>
        <w:t xml:space="preserve">(Gouveia and Trigo 2014)</w:t>
      </w:r>
      <w:r>
        <w:t xml:space="preserve">.</w:t>
      </w:r>
    </w:p>
    <w:p>
      <w:pPr>
        <w:pStyle w:val="Textodecuerpo"/>
      </w:pPr>
      <w:r>
        <w:t xml:space="preserve">Drought can cause significant changes in ecosystem productivity and water dynamics, and extreme drought can severely affect forest through changes in plant physiology, phenology and carbon allocation (see</w:t>
      </w:r>
      <w:r>
        <w:t xml:space="preserve"> </w:t>
      </w:r>
      <w:r>
        <w:t xml:space="preserve">Ummenhofer and Meehl (2017)</w:t>
      </w:r>
      <w:r>
        <w:t xml:space="preserve"> </w:t>
      </w:r>
      <w:r>
        <w:t xml:space="preserve">for a revision).</w:t>
      </w:r>
    </w:p>
    <w:p>
      <w:pPr>
        <w:pStyle w:val="Textodecuerpo"/>
      </w:pPr>
      <w:r>
        <w:t xml:space="preserve">La vulnerabilidad de los bosques a los eventos climáticos extremos …</w:t>
      </w:r>
    </w:p>
    <w:p>
      <w:pPr>
        <w:pStyle w:val="Textodecuerpo"/>
      </w:pPr>
      <w:r>
        <w:t xml:space="preserve">no obstante los ecosistemas situados en zonas áridas responden mas rápidamente a la sequía.. ver VicenteSerrano2013</w:t>
      </w:r>
    </w:p>
    <w:p>
      <w:pPr>
        <w:pStyle w:val="Textodecuerpo"/>
      </w:pPr>
      <w:r>
        <w:t xml:space="preserve">Existen evidencias que sugieren que muchos bosques son vulnerables a eventos climáticos extremos … (Zhang) y esto puede ser especialmente relevante para especies situadas en el rear edge (completar) …</w:t>
      </w:r>
    </w:p>
    <w:p>
      <w:pPr>
        <w:pStyle w:val="Textodecuerpo"/>
      </w:pPr>
      <w:r>
        <w:t xml:space="preserve">… mejorar–&gt; y esto puede ser especialmente importante en zonas como la región mediterránea,con un alto uso antrópico, donde la sequía presenta no solo efectos aislados, sino también la interacción con otros factores</w:t>
      </w:r>
      <w:r>
        <w:t xml:space="preserve"> </w:t>
      </w:r>
      <w:r>
        <w:t xml:space="preserve">(Doblas-Miranda et al. 2017)</w:t>
      </w:r>
      <w:r>
        <w:t xml:space="preserve">. (ver abstract trabajo)</w:t>
      </w:r>
    </w:p>
    <w:p>
      <w:pPr>
        <w:pStyle w:val="Textodecuerpo"/>
      </w:pPr>
      <w:r>
        <w:t xml:space="preserve">No solo efectos aislados, sino también en conjunción con otros factores, sobre todo en el mediterráneo donde convergen muchos de los factores que pueden interaccionar:</w:t>
      </w:r>
    </w:p>
    <w:p>
      <w:pPr>
        <w:pStyle w:val="Ttulo2"/>
      </w:pPr>
      <w:bookmarkStart w:id="22" w:name="section"/>
      <w:bookmarkEnd w:id="22"/>
    </w:p>
    <w:p>
      <w:pPr>
        <w:pStyle w:val="FirstParagraph"/>
      </w:pPr>
      <w:r>
        <w:t xml:space="preserve">.. ver</w:t>
      </w:r>
      <w:r>
        <w:t xml:space="preserve"> </w:t>
      </w:r>
      <w:r>
        <w:t xml:space="preserve">(Vicente-Serrano et al. 2013)</w:t>
      </w:r>
      <w:r>
        <w:t xml:space="preserve"> </w:t>
      </w:r>
      <w:r>
        <w:t xml:space="preserve">impacto de las sequías en diferentes zonas (i.e montañas)</w:t>
      </w:r>
    </w:p>
    <w:p>
      <w:pPr>
        <w:pStyle w:val="Textodecuerpo"/>
      </w:pPr>
      <w:r>
        <w:t xml:space="preserve">Remote sensing can be used for studying droughts impacts on ecosystems</w:t>
      </w:r>
      <w:r>
        <w:t xml:space="preserve"> </w:t>
      </w:r>
      <w:r>
        <w:t xml:space="preserve">(Michel Deshayes et al. 2006, AghaKouchak et al. 2015, Norman et al. 2016)</w:t>
      </w:r>
    </w:p>
    <w:p>
      <w:pPr>
        <w:pStyle w:val="Textodecuerpo"/>
      </w:pPr>
      <w:r>
        <w:t xml:space="preserve">… ojo los remote sensing datos (aun con alta resolucion temporal y/o espacial) son insuficientes por si solos para demostrar</w:t>
      </w:r>
      <w:r>
        <w:t xml:space="preserve"> </w:t>
      </w:r>
      <w:r>
        <w:t xml:space="preserve">Remote sensing data, even high temporal or spatial resolution data, are insufficient alone to unequivocally demonstrate that drought is the causal agent of a particular change in reflectance values</w:t>
      </w:r>
    </w:p>
    <w:p>
      <w:pPr>
        <w:pStyle w:val="Textodecuerpo"/>
      </w:pPr>
      <w:r>
        <w:t xml:space="preserve">Objetivos del trabajo</w:t>
      </w:r>
    </w:p>
    <w:p>
      <w:pPr>
        <w:pStyle w:val="Ttulo3"/>
      </w:pPr>
      <w:bookmarkStart w:id="23" w:name="aims"/>
      <w:bookmarkEnd w:id="23"/>
      <w:r>
        <w:t xml:space="preserve">Aims</w:t>
      </w:r>
    </w:p>
    <w:p>
      <w:pPr>
        <w:pStyle w:val="FirstParagraph"/>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3"/>
          <w:ilvl w:val="0"/>
        </w:numPr>
      </w:pPr>
      <w:r>
        <w:t xml:space="preserve">To quantify how two extreme drought events influenced the greenness and radial growth of</w:t>
      </w:r>
      <w:r>
        <w:t xml:space="preserve"> </w:t>
      </w:r>
      <w:r>
        <w:rPr>
          <w:i/>
        </w:rPr>
        <w:t xml:space="preserve">Q. pyreancia</w:t>
      </w:r>
      <w:r>
        <w:t xml:space="preserve"> </w:t>
      </w:r>
      <w:r>
        <w:t xml:space="preserve">forests in their rear edge,</w:t>
      </w:r>
    </w:p>
    <w:p>
      <w:pPr>
        <w:numPr>
          <w:numId w:val="1003"/>
          <w:ilvl w:val="0"/>
        </w:numPr>
      </w:pPr>
      <w:r>
        <w:t xml:space="preserve">to analyze the resilience of these forests to successive extreme drought events,</w:t>
      </w:r>
    </w:p>
    <w:p>
      <w:pPr>
        <w:numPr>
          <w:numId w:val="1003"/>
          <w:ilvl w:val="0"/>
        </w:numPr>
      </w:pPr>
      <w:r>
        <w:t xml:space="preserve">and to explore differences in the resilience metrics between populations located in contrasting slopes within the rear edge of the distribution of this species.Do northern and southern populations of Pyrenean oak forests differ in their resistance, resilience or recovery to extreme drought events?</w:t>
      </w:r>
    </w:p>
    <w:p>
      <w:pPr>
        <w:pStyle w:val="Ttulo1"/>
      </w:pPr>
      <w:bookmarkStart w:id="24" w:name="materials-and-methods"/>
      <w:bookmarkEnd w:id="24"/>
      <w:r>
        <w:t xml:space="preserve">Materials and methods</w:t>
      </w:r>
    </w:p>
    <w:p>
      <w:pPr>
        <w:pStyle w:val="Ttulo2"/>
      </w:pPr>
      <w:bookmarkStart w:id="25" w:name="species-and-study-site"/>
      <w:bookmarkEnd w:id="25"/>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6" w:name="drought-episodes"/>
      <w:bookmarkEnd w:id="26"/>
      <w:r>
        <w:t xml:space="preserve">Drought episodes</w:t>
      </w:r>
    </w:p>
    <w:p>
      <w:pPr>
        <w:pStyle w:val="FirstParagraph"/>
      </w:pPr>
      <w:r>
        <w:t xml:space="preserve">The years 2005 and 2012 were chosen as drought years for this study because they have been documented as two of the worst drought years in the last decades for the southern Iberian Peninsula</w:t>
      </w:r>
      <w:r>
        <w:t xml:space="preserve"> </w:t>
      </w:r>
      <w:r>
        <w:t xml:space="preserve">(García-Herrera et al. 2007, Trigo et al. 2013, Gouveia et al. 2015)</w:t>
      </w:r>
      <w:r>
        <w:t xml:space="preserve"> </w:t>
      </w:r>
      <w:r>
        <w:t xml:space="preserve">and they were charecterized as extreme drought in our climatic data (Figure S1). Aunque sabemos que existen otros años de sequía extrema (e.g. 1995, 1981)</w:t>
      </w:r>
      <w:r>
        <w:t xml:space="preserve"> </w:t>
      </w:r>
      <w:r>
        <w:t xml:space="preserve">(Vicente-Serrano et al. 2014)</w:t>
      </w:r>
      <w:r>
        <w:t xml:space="preserve">, no se han elegido por una limitación metodológica, esto es, nuestro objetivo es analizar el efecto de la sequía y la resiliencia a los eventos de sequía utilizando información de satélite y de dendrocronología, y la información de satélite utilizada (ver mas adelante) solamente está disponible desde el año 2000 en adelante. We compare only these previous drought years in radial growth-time series, to place older drought events with those in 2005 and 2012 … DUDA GUILLERMO</w:t>
      </w:r>
    </w:p>
    <w:p>
      <w:pPr>
        <w:pStyle w:val="Compact"/>
        <w:numPr>
          <w:numId w:val="1004"/>
          <w:ilvl w:val="0"/>
        </w:numPr>
      </w:pPr>
      <w:r>
        <w:t xml:space="preserve">¿Decimos aquí algo así como?: Para los datos de radial-growth hemos computado la resiliencia en los 10 eventos mas severos (ver tabla S1)</w:t>
      </w:r>
    </w:p>
    <w:p>
      <w:pPr>
        <w:pStyle w:val="Ttulo2"/>
      </w:pPr>
      <w:bookmarkStart w:id="27" w:name="greenness-data"/>
      <w:bookmarkEnd w:id="27"/>
      <w:r>
        <w:t xml:space="preserve">Greenness data</w:t>
      </w:r>
    </w:p>
    <w:p>
      <w:pPr>
        <w:pStyle w:val="FirstParagraph"/>
      </w:pPr>
      <w:r>
        <w:t xml:space="preserve">As a proxy to primary growth, 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MODIS EVI Data from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A data filtering was applied to select EVI valid values. The filtering was done using quality flags and VI Usefulness Indices accompanying the EVI data. We filter out those values affected by high content of aerosols, clouds, snow and shadows, following the filtering recommendations of EVI data for mountain regions</w:t>
      </w:r>
      <w:r>
        <w:t xml:space="preserve"> </w:t>
      </w:r>
      <w:r>
        <w:t xml:space="preserve">(Reyes-Díez et al. 2015)</w:t>
      </w:r>
      <w:r>
        <w:t xml:space="preserve">.</w:t>
      </w:r>
    </w:p>
    <w:p>
      <w:pPr>
        <w:pStyle w:val="Textodecuerpo"/>
      </w:pPr>
      <w:r>
        <w:t xml:space="preserve">After the filter out process, we built the annual EVI profile for each pixel and then computed the EVI’s annual mean values and the EVI anomaly for each pixel for the period 2000 - 2016. EVI mean 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We explored the temporal trends of EVI at a pixel scale. We computed the nonparametric Mann–Kendall test (Kendall, 1975; Mann, 1945), using the</w:t>
      </w:r>
      <w:r>
        <w:t xml:space="preserve"> </w:t>
      </w:r>
      <w:r>
        <w:rPr>
          <w:rStyle w:val="VerbatimChar"/>
        </w:rPr>
        <w:t xml:space="preserve">trend</w:t>
      </w:r>
      <w:r>
        <w:t xml:space="preserve"> </w:t>
      </w:r>
      <w:r>
        <w:t xml:space="preserve">package in R</w:t>
      </w:r>
      <w:r>
        <w:t xml:space="preserve"> </w:t>
      </w:r>
      <w:r>
        <w:t xml:space="preserve">(Pohlert 2017)</w:t>
      </w:r>
      <w:r>
        <w:t xml:space="preserve">. We set 0.05 the alpha level for the test.</w:t>
      </w:r>
    </w:p>
    <w:p>
      <w:pPr>
        <w:pStyle w:val="Textodecuerpo"/>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 Gao et al. 2016)</w:t>
      </w:r>
      <w:r>
        <w:t xml:space="preserve">. For each pixel we annually averaged all the EVI valid values,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tulo2"/>
      </w:pPr>
      <w:bookmarkStart w:id="28" w:name="field-sampling-and-dendrochronological-methods"/>
      <w:bookmarkEnd w:id="28"/>
      <w:r>
        <w:t xml:space="preserve">Field sampling and dendrochronological methods</w:t>
      </w:r>
    </w:p>
    <w:p>
      <w:pPr>
        <w:pStyle w:val="Ttulo3"/>
      </w:pPr>
      <w:bookmarkStart w:id="29" w:name="tree-sampling"/>
      <w:bookmarkEnd w:id="29"/>
      <w:r>
        <w:t xml:space="preserve">Tree sampling</w:t>
      </w:r>
    </w:p>
    <w:p>
      <w:pPr>
        <w:pStyle w:val="FirstParagraph"/>
      </w:pPr>
      <w:r>
        <w:t xml:space="preserve">Tree sampling was carried during autumn of 2016. Trees were sampled at two locations in contrasting slopes of Sierra Nevada: San Juan (SJ; northern aspect) and Cáñar (CA; southern aspect) (Figure 1; Table 1). – GGI: Diferencias microclimáticas Decir algo aquí sobre difrencias microclimáticas entre el norte (más seco, más continental?) y el sur (más húmedo pero más oceánico/cálido?). –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We assessed stand competition of target trees by recording distance, azimuth, dbh, species and total height of all neighboring living trees with dbh &gt; 7.5 cm in a circular plot of 10 m radius. We computed two distance independent indices:</w:t>
      </w:r>
      <w:r>
        <w:t xml:space="preserve"> </w:t>
      </w:r>
      <w:r>
        <w:rPr>
          <w:i/>
        </w:rPr>
        <w:t xml:space="preserve">density</w:t>
      </w:r>
      <w:r>
        <w:t xml:space="preserve"> </w:t>
      </w:r>
      <w:r>
        <w:t xml:space="preserve">in</w:t>
      </w:r>
      <w:r>
        <w:t xml:space="preserve"> </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 in</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one distance dependent indices: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We used non-parametric Kruskal-Wallis rank sum tests</w:t>
      </w:r>
      <w:r>
        <w:t xml:space="preserve"> </w:t>
      </w:r>
      <w:r>
        <w:t xml:space="preserve">(Sokal and Rohlf 1995)</w:t>
      </w:r>
      <w:r>
        <w:t xml:space="preserve"> </w:t>
      </w:r>
      <w:r>
        <w:t xml:space="preserve">to analyse differences between sites for height, DBH and competence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30" w:name="dendroecological-analyses"/>
      <w:bookmarkEnd w:id="30"/>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we used pre-whitened residual chronologies (RWI)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We used measured dbh and raw ring-widths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We calculated a mean BAI serie for each individual tree.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1" w:name="climate-and-growth"/>
      <w:bookmarkEnd w:id="31"/>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2">
        <w:r>
          <w:rPr>
            <w:rStyle w:val="Hipervnculo"/>
          </w:rPr>
          <w:t xml:space="preserve">http://www.meteo.unican.es/en/climate4R</w:t>
        </w:r>
      </w:hyperlink>
      <w:r>
        <w:t xml:space="preserve">)</w:t>
      </w:r>
      <w:r>
        <w:t xml:space="preserve"> </w:t>
      </w:r>
      <w:r>
        <w:t xml:space="preserve">(Cofiño et al. 2018, Frías et al. 2018)</w:t>
      </w:r>
      <w:r>
        <w:t xml:space="preserve">. We also used the Standardized Precipitation-Evapotranspiration Index (SPEI), a multiscalar drought index that incorporates both precipitation and temperature</w:t>
      </w:r>
      <w:r>
        <w:t xml:space="preserve"> </w:t>
      </w:r>
      <w:r>
        <w:t xml:space="preserve">(Vicente-Serrano et al. 2010, Beguería et al. 2014)</w:t>
      </w:r>
      <w:r>
        <w:t xml:space="preserve">. SPEI values for the period 1961-2014 were obtained with a spatial resolution of 1.1 km from the Drought indices dataset for Spain database (</w:t>
      </w:r>
      <w:hyperlink r:id="rId33">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 We selected a temporal scale for the SPEI of 6 months.</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4" w:name="disturbance-analyses"/>
      <w:bookmarkEnd w:id="34"/>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We used medians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tulo2"/>
      </w:pPr>
      <w:bookmarkStart w:id="35" w:name="resilience"/>
      <w:bookmarkEnd w:id="35"/>
      <w:r>
        <w:t xml:space="preserve">Resilience</w:t>
      </w:r>
    </w:p>
    <w:p>
      <w:pPr>
        <w:pStyle w:val="FirstParagraph"/>
      </w:pPr>
      <w:r>
        <w:t xml:space="preserve">To evaluate the effects of drougth events on greeennes and tree growth (BAI) we used three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We computed the values of these indices for tree growth (BAI) and greenness during each drought event. We considered 2005 and 2012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S7) and this length was used in other studies (e.g.</w:t>
      </w:r>
      <w:r>
        <w:t xml:space="preserve"> </w:t>
      </w:r>
      <w:r>
        <w:t xml:space="preserve">Gazol et al. (2017)</w:t>
      </w:r>
      <w:r>
        <w:t xml:space="preserve">). In addition we calculated the same indices for BAI data for the most severe drought events (Appendix S4) since 1900.</w:t>
      </w:r>
    </w:p>
    <w:p>
      <w:pPr>
        <w:pStyle w:val="Ttulo2"/>
      </w:pPr>
      <w:bookmarkStart w:id="36" w:name="statistical-analysis"/>
      <w:bookmarkEnd w:id="36"/>
      <w:r>
        <w:t xml:space="preserve">Statistical analysis</w:t>
      </w:r>
    </w:p>
    <w:p>
      <w:pPr>
        <w:pStyle w:val="FirstParagraph"/>
      </w:pPr>
      <w:r>
        <w:t xml:space="preserve">We used robust two-way ANOVAs to test for differences between drought events (2005 and 2012) and the two studied oak populations (northern and southern aspects) for each of the three resilience indices studied. These test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7" w:name="results"/>
      <w:bookmarkEnd w:id="37"/>
      <w:r>
        <w:t xml:space="preserve">Results</w:t>
      </w:r>
    </w:p>
    <w:p>
      <w:pPr>
        <w:pStyle w:val="Ttulo2"/>
      </w:pPr>
      <w:bookmarkStart w:id="38" w:name="time-trends-in-vegetation-greenness"/>
      <w:bookmarkEnd w:id="38"/>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of which 31.67 % were significant. The lowest values of EVI standardized anomalies were recorded in 2005, being singnificantly lower (-2.285 ± 0.029) than those in 2012 (-0.418 ± 0.029) (LSMEANS, t.ratio = -45.358; p_value &lt; 0.0001), particularly for northern populations (Figure 2). During 2005 drought,</w:t>
      </w:r>
      <w:r>
        <w:t xml:space="preserve"> </w:t>
      </w:r>
      <w:r>
        <w:rPr>
          <w:i/>
        </w:rPr>
        <w:t xml:space="preserve">Q. pyrenaica</w:t>
      </w:r>
      <w:r>
        <w:t xml:space="preserve"> </w:t>
      </w:r>
      <w:r>
        <w:t xml:space="preserve">forests suffered a</w:t>
      </w:r>
      <w:r>
        <w:t xml:space="preserve"> </w:t>
      </w:r>
      <w:r>
        <w:t xml:space="preserve">“</w:t>
      </w:r>
      <w:r>
        <w:t xml:space="preserve">browning episode</w:t>
      </w:r>
      <w:r>
        <w:t xml:space="preserve">”</w:t>
      </w:r>
      <w:r>
        <w:t xml:space="preserve"> </w:t>
      </w:r>
      <w:r>
        <w:t xml:space="preserve">(</w:t>
      </w:r>
      <m:oMath>
        <m:r>
          <m:t>E</m:t>
        </m:r>
        <m:r>
          <m:t>V</m:t>
        </m:r>
        <m:r>
          <m:t>I</m:t>
        </m:r>
        <m:r>
          <m:t> </m:t>
        </m:r>
        <m:r>
          <m:t>s</m:t>
        </m:r>
        <m:r>
          <m:t>a</m:t>
        </m:r>
        <m:r>
          <m:t>&lt;</m:t>
        </m:r>
        <m:r>
          <m:t>−</m:t>
        </m:r>
        <m:r>
          <m:t>1</m:t>
        </m:r>
      </m:oMath>
      <w:r>
        <w:t xml:space="preserve">) (99.36 % and 79.37 % of the pixels for northern and southern populations respectively), yet no changes in greenness were observed in response to the 2012 drought (Appendix S5).</w:t>
      </w:r>
    </w:p>
    <w:p>
      <w:pPr>
        <w:pStyle w:val="Ttulo2"/>
      </w:pPr>
      <w:bookmarkStart w:id="39" w:name="greenness-resilience-to-drought-events"/>
      <w:bookmarkEnd w:id="39"/>
      <w:r>
        <w:t xml:space="preserve">Greenness resilience to drought events</w:t>
      </w:r>
    </w:p>
    <w:p>
      <w:pPr>
        <w:pStyle w:val="FirstParagraph"/>
      </w:pPr>
      <w:r>
        <w:rPr>
          <w:i/>
        </w:rPr>
        <w:t xml:space="preserve">Q. pyrenaica</w:t>
      </w:r>
      <w:r>
        <w:t xml:space="preserve"> </w:t>
      </w:r>
      <w:r>
        <w:t xml:space="preserve">forest showed significantly lower resistance (</w:t>
      </w:r>
      <w:r>
        <w:rPr>
          <w:i/>
        </w:rPr>
        <w:t xml:space="preserve">Rt</w:t>
      </w:r>
      <w:r>
        <w:t xml:space="preserve">) to the 2005 drought event than to that in 2012 (Table 3; Figure 3). Southern populations showed significantly higher values of resistance to drought than northern ones (Table 3), except for 2012 where non-significant differences were recorded (Table S1; Figure 3) .</w:t>
      </w:r>
    </w:p>
    <w:p>
      <w:pPr>
        <w:pStyle w:val="Textodecuerpo"/>
      </w:pPr>
      <w:r>
        <w:t xml:space="preserve">Recovery (</w:t>
      </w:r>
      <w:r>
        <w:rPr>
          <w:i/>
        </w:rPr>
        <w:t xml:space="preserve">Rc</w:t>
      </w:r>
      <w:r>
        <w:t xml:space="preserve">) of greenness was significnatly different bewteen drought events and sites (Tables 3). In the 3-year period after the 2005 drought, greenness achieved was 112 % (Rc = 1.12) and after 2012 was 105.7 % (Rc = 1.057) (Table S1). For southern populations, a similar recovery after the 2005 and 2012 drought event was observed (p = 0.2453; Figure 3; Table S1).</w:t>
      </w:r>
    </w:p>
    <w:p>
      <w:pPr>
        <w:pStyle w:val="Textodecuerpo"/>
      </w:pPr>
      <w:r>
        <w:t xml:space="preserve">Resilience (</w:t>
      </w:r>
      <w:r>
        <w:rPr>
          <w:i/>
        </w:rPr>
        <w:t xml:space="preserve">Rs</w:t>
      </w:r>
      <w:r>
        <w:t xml:space="preserve">) was significantly higher for the 2012 drought event than for 2005 (Tables S1, 3), although both values were close to 1 indicating that greenness level was rather similar after each disturbance event (Table S1). The southern populations showed higher resilience values than the northern ones, although these differences were not significant for the 2005 drought event (p = 0.036; Figure 3).</w:t>
      </w:r>
    </w:p>
    <w:p>
      <w:pPr>
        <w:pStyle w:val="Ttulo2"/>
      </w:pPr>
      <w:bookmarkStart w:id="40" w:name="radial-growth-trends-and-climate"/>
      <w:bookmarkEnd w:id="40"/>
      <w:r>
        <w:t xml:space="preserve">Radial growth trends and climate</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The competition index was similar among sites but plot basal area was greatest in CA-High (Table 1). Yet the basal area increment (BAI) growth in the highest plot in altitude (CA-High) was the greatest (Figure 4). Trees from this location showed in addition a positive growth trend since the late 1970s. This positive trend was not found in any of the other two locations and the two altitudes sampled in the southern populations showed differences in growth, being more similar CA-Low with growth in the northern population (SJ) than with CA-High (Figure 4; Appendix S11).</w:t>
      </w:r>
    </w:p>
    <w:p>
      <w:pPr>
        <w:pStyle w:val="Textodecuerpo"/>
      </w:pPr>
      <w:r>
        <w:t xml:space="preserve">1995 was the lowest pointer year (</w:t>
      </w:r>
      <w:r>
        <w:rPr>
          <w:i/>
        </w:rPr>
        <w:t xml:space="preserve">i.e.</w:t>
      </w:r>
      <w:r>
        <w:t xml:space="preserve"> </w:t>
      </w:r>
      <w:r>
        <w:t xml:space="preserve">the lowest growth) since 1950 in all chronologies (Figure 5). For 2005 and 2012 we found a greater reduction of RWI for northern site (SJ) but weaker for southern sites (CA-High and CA-Low).</w:t>
      </w:r>
    </w:p>
    <w:p>
      <w:pPr>
        <w:pStyle w:val="Ttulo2"/>
      </w:pPr>
      <w:bookmarkStart w:id="41" w:name="resilience-of-radial-tree-growth-to-drought-events"/>
      <w:bookmarkEnd w:id="41"/>
      <w:r>
        <w:t xml:space="preserve">Resilience of radial tree-growth to drought events</w:t>
      </w:r>
    </w:p>
    <w:p>
      <w:pPr>
        <w:pStyle w:val="FirstParagraph"/>
      </w:pPr>
      <w:r>
        <w:t xml:space="preserve">Although no significant differences were observed in the resistance (</w:t>
      </w:r>
      <w:r>
        <w:rPr>
          <w:i/>
        </w:rPr>
        <w:t xml:space="preserve">Rt</w:t>
      </w:r>
      <w:r>
        <w:t xml:space="preserve">) of oak radial growth between the two drought events (Table 3), the 2005 drought reduced growth more than that of 2012 (Rt = 0.721 and 0.819 respectively) (Table S2). Similar to results for greenness, the northern site, which is under a drier climate, showed resistance values lower than those of the southern site, especially for the 2005 drought event where the growth was reduced to 44.5 % respect to that of the preceding period (Figure 3).</w:t>
      </w:r>
    </w:p>
    <w:p>
      <w:pPr>
        <w:pStyle w:val="Textodecuerpo"/>
      </w:pPr>
      <w:r>
        <w:t xml:space="preserve">Higher values of recovery (</w:t>
      </w:r>
      <w:r>
        <w:rPr>
          <w:i/>
        </w:rPr>
        <w:t xml:space="preserve">Rc</w:t>
      </w:r>
      <w:r>
        <w:t xml:space="preserve">) were observed after 2012 than after 2005 drougth events, staying at levels of</w:t>
      </w:r>
      <w:r>
        <w:t xml:space="preserve"> </w:t>
      </w:r>
      <w:r>
        <w:rPr>
          <w:i/>
        </w:rPr>
        <w:t xml:space="preserve">Rc</w:t>
      </w:r>
      <w:r>
        <w:t xml:space="preserve"> </w:t>
      </w:r>
      <w:r>
        <w:t xml:space="preserve">&lt; 1 (Figure 3, Table S2). SJ site (northern aspect) showed significantly higher values of recovery than southern sites (CA-High and CA-Low) (Tables 3 and S2), which even not reach recovery values of Rc = 1 (Figure 3).</w:t>
      </w:r>
    </w:p>
    <w:p>
      <w:pPr>
        <w:pStyle w:val="Textodecuerpo"/>
      </w:pPr>
      <w:r>
        <w:t xml:space="preserve">Similar pattern of resilience (</w:t>
      </w:r>
      <w:r>
        <w:rPr>
          <w:i/>
        </w:rPr>
        <w:t xml:space="preserve">Rs</w:t>
      </w:r>
      <w:r>
        <w:t xml:space="preserve">) values was found for growth than for greenness respect to drought event: significantly higher values of</w:t>
      </w:r>
      <w:r>
        <w:t xml:space="preserve"> </w:t>
      </w:r>
      <w:r>
        <w:rPr>
          <w:i/>
        </w:rPr>
        <w:t xml:space="preserve">Rs</w:t>
      </w:r>
      <w:r>
        <w:t xml:space="preserve"> </w:t>
      </w:r>
      <w:r>
        <w:t xml:space="preserve">for the 2012 drought event than for the 2005 (Table S2; Figure 3). However, no differences were observed between sites (Table 3). For 2005 drought event,</w:t>
      </w:r>
      <w:r>
        <w:t xml:space="preserve"> </w:t>
      </w:r>
      <w:r>
        <w:rPr>
          <w:i/>
        </w:rPr>
        <w:t xml:space="preserve">Rs</w:t>
      </w:r>
      <w:r>
        <w:t xml:space="preserve"> </w:t>
      </w:r>
      <w:r>
        <w:t xml:space="preserve">value of SJ (northern site) was lower than that of southern ones (CA-High and CA-Low), but opposite pattern was found for the 2012 drought event. All values of</w:t>
      </w:r>
      <w:r>
        <w:t xml:space="preserve"> </w:t>
      </w:r>
      <w:r>
        <w:rPr>
          <w:i/>
        </w:rPr>
        <w:t xml:space="preserve">Rs</w:t>
      </w:r>
      <w:r>
        <w:t xml:space="preserve"> </w:t>
      </w:r>
      <w:r>
        <w:t xml:space="preserve">for growth were below 1, except for the SJ site in 2012 (Rs = 1.031).</w:t>
      </w:r>
    </w:p>
    <w:p>
      <w:pPr>
        <w:pStyle w:val="Textodecuerpo"/>
      </w:pPr>
      <w:r>
        <w:t xml:space="preserve">When we explored resilience values of growth (</w:t>
      </w:r>
      <w:r>
        <w:rPr>
          <w:i/>
        </w:rPr>
        <w:t xml:space="preserve">Rs</w:t>
      </w:r>
      <w:r>
        <w:t xml:space="preserve">) for other severe droughts, we found a relation between the resilience and drought severity (</w:t>
      </w:r>
      <m:oMath>
        <m:sSup>
          <m:e>
            <m:r>
              <m:t>r</m:t>
            </m:r>
          </m:e>
          <m:sup>
            <m:r>
              <m:t>2</m:t>
            </m:r>
          </m:sup>
        </m:sSup>
      </m:oMath>
      <w:r>
        <w:t xml:space="preserve"> </w:t>
      </w:r>
      <w:r>
        <w:t xml:space="preserve">= 0.336) (Appendix S6).</w:t>
      </w:r>
    </w:p>
    <w:p>
      <w:pPr>
        <w:pStyle w:val="Ttulo2"/>
      </w:pPr>
      <w:bookmarkStart w:id="42" w:name="climate-and-tree-growth"/>
      <w:bookmarkEnd w:id="42"/>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3" w:name="forest-disturbances"/>
      <w:bookmarkEnd w:id="43"/>
      <w:r>
        <w:t xml:space="preserve">Forest disturbances</w:t>
      </w:r>
    </w:p>
    <w:p>
      <w:pPr>
        <w:pStyle w:val="FirstParagraph"/>
      </w:pPr>
      <w:r>
        <w:t xml:space="preserve">The analysis of growth changes revealed differences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1"/>
      </w:pPr>
      <w:bookmarkStart w:id="44" w:name="algunas-ideas-para-la-discussion"/>
      <w:bookmarkEnd w:id="44"/>
      <w:r>
        <w:t xml:space="preserve">Algunas ideas para la discussion</w:t>
      </w:r>
    </w:p>
    <w:p>
      <w:pPr>
        <w:pStyle w:val="Ttulo2"/>
      </w:pPr>
      <w:bookmarkStart w:id="45" w:name="fortaleza-metodologica"/>
      <w:bookmarkEnd w:id="45"/>
      <w:r>
        <w:t xml:space="preserve">FORTALEZA METODOLÓGICA</w:t>
      </w:r>
    </w:p>
    <w:p>
      <w:pPr>
        <w:numPr>
          <w:numId w:val="1005"/>
          <w:ilvl w:val="0"/>
        </w:numPr>
      </w:pPr>
      <w:r>
        <w:t xml:space="preserve">Algunos trabajos han analizado la relación ente RWI y remote sensing</w:t>
      </w:r>
      <w:r>
        <w:t xml:space="preserve"> </w:t>
      </w:r>
      <w:r>
        <w:t xml:space="preserve">(Vicente-Serrano et al. 2013)</w:t>
      </w:r>
      <w:r>
        <w:t xml:space="preserve">; [(Bhuyan et al. Remote Sensing 9(6):526)]; [Vicente Serrano et al.</w:t>
      </w:r>
      <w:r>
        <w:t xml:space="preserve"> </w:t>
      </w:r>
      <w:hyperlink r:id="rId46">
        <w:r>
          <w:rPr>
            <w:rStyle w:val="Hipervnculo"/>
          </w:rPr>
          <w:t xml:space="preserve">https://www.sciencedirect.com/science/article/pii/S003442571630373X</w:t>
        </w:r>
      </w:hyperlink>
      <w:r>
        <w:t xml:space="preserve">] …</w:t>
      </w:r>
    </w:p>
    <w:p>
      <w:pPr>
        <w:numPr>
          <w:numId w:val="1005"/>
          <w:ilvl w:val="0"/>
        </w:numPr>
      </w:pPr>
      <w:r>
        <w:t xml:space="preserve">Nosotros aqui utilizamos la combinación de técnicas de remote sensing con dendro para analizar la vulnerabilidad de poblaciones de Q. pyrenaica situadas en su reaar edge frente a los eventos de sequía.</w:t>
      </w:r>
    </w:p>
    <w:p>
      <w:pPr>
        <w:pStyle w:val="FirstParagraph"/>
      </w:pPr>
      <w:r>
        <w:t xml:space="preserve">— notas para esto</w:t>
      </w:r>
      <w:r>
        <w:t xml:space="preserve"> </w:t>
      </w:r>
      <w:r>
        <w:t xml:space="preserve">Se trata de expresar la idea de mezcla de aproximacioes: remote-sensing con dendro. Aunque existen algunos trabajos que utilizado RWI y remote sensing nuestra aproximación es importante, sobre todo para estudiar poblaciones que están en su límite de distribución (rear-edge)</w:t>
      </w:r>
      <w:r>
        <w:t xml:space="preserve"> </w:t>
      </w:r>
      <w:r>
        <w:t xml:space="preserve">(Jump et al. 2010)</w:t>
      </w:r>
      <w:r>
        <w:t xml:space="preserve">. 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pStyle w:val="Textodecuerpo"/>
      </w:pPr>
      <w:r>
        <w:t xml:space="preserve">Para rear edge poblations es recomendable utilizar aproximaciones combinadas (Jump 2009) donde además de los datos de satélite, se utilicen datos groun based assessment (como por ejemplo la dendro), ya que éstos últimos, además de ser componentes esenciales del forest monitoring, son necesarios para estimar … (ver esto y completar)</w:t>
      </w:r>
    </w:p>
    <w:p>
      <w:pPr>
        <w:pStyle w:val="Textodecuerpo"/>
      </w:pPr>
      <w:r>
        <w:t xml:space="preserve">Aunque el NDVI o similar ha sido utilizado para monitorizar la respuesta de bosques frente a sequía, su escala espacial limita su uso para estudiar cambios en poblacioens situadas en su rear edge.</w:t>
      </w:r>
    </w:p>
    <w:p>
      <w:pPr>
        <w:pStyle w:val="Textodecuerpo"/>
      </w:pPr>
      <w:r>
        <w:t xml:space="preserve">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extodecuerpo"/>
      </w:pPr>
      <w:r>
        <w:t xml:space="preserve">comentario de GGI</w:t>
      </w:r>
    </w:p>
    <w:p>
      <w:pPr>
        <w:pStyle w:val="Textodecuerpo"/>
      </w:pPr>
      <w:r>
        <w:t xml:space="preserve">Gracias Antonio. Desde luego que debes resaltar a lo largo del artículo la combinación de sensores y dendro como fortaleza de tu trabajo al analizar el tema de resiliencia desde dos escalas espacio-temporales complementarias. Y eso independientemente que lo diga o no Alistair Jump (que las citas vienen bien, y seguro que el trabajo es bueno), combinar ambas escalas/datos es beneficioso no sólo en poblaciones rear-edge, sino en general. Es decir, desde mi punto de vista, aunque decidas no centrarte tanto en el aspecto metodológico como sugieren Regino y Curro, eso no quiere decir que este punto no lo presentes de forma explícita en tu trabajo (en abstract debe aparecer, luego en intro, discusión y tal vez una frase en conclusiones) como uno de los elementos fuertes (un término medio, vamos). Creo que ya hemos discutido esto cuando hemos hablado. No es el primer trabajo que lo hace, como bien señalas, pero tampoco hay que pensar que no tiene valor, pues no hay tantos trabajos que combinen ambas aproximaciones (habrá cada vez más de hecho). Así que ánimo que queda poco y el trabajo puede quedar interesante si somos capaces de escribir e interpretar bien los resultados que nos has enviado.</w:t>
      </w:r>
    </w:p>
    <w:p>
      <w:pPr>
        <w:pStyle w:val="Ttulo3"/>
      </w:pPr>
      <w:bookmarkStart w:id="47" w:name="efectos-de-la-sequia-en-el-greenneess-y-en-el-crecimiento."/>
      <w:bookmarkEnd w:id="47"/>
      <w:r>
        <w:t xml:space="preserve">Efectos de la sequía en el greenneess y en el crecimiento.</w:t>
      </w:r>
    </w:p>
    <w:p>
      <w:pPr>
        <w:pStyle w:val="FirstParagraph"/>
      </w:pPr>
      <w:r>
        <w:t xml:space="preserve">Hemos observado como las sequía, sobre todo la de 2005, provoca una reducción en el greenness y pero sobre todo en el crecimiento. Los datos de anomalías estandarizadas de EVI mostraron un browning para la mayoría de los robledales de Sierra Nevada durante la sequía de 2005.</w:t>
      </w:r>
    </w:p>
    <w:p>
      <w:pPr>
        <w:pStyle w:val="Textodecuerpo"/>
      </w:pPr>
      <w:r>
        <w:t xml:space="preserve">La sequía de 2005 fue una de las mas severas afectando significativamente al crecimiento. Esto se ha observado también en otras especies en el sur de la P. Ibérica (p.ej. P. nigra en Andalusia</w:t>
      </w:r>
      <w:r>
        <w:t xml:space="preserve"> </w:t>
      </w:r>
      <w:r>
        <w:t xml:space="preserve">(Sánchez-Salguero et al. 2013)</w:t>
      </w:r>
      <w:r>
        <w:t xml:space="preserve">, … INCLUIR otras especies y citas).</w:t>
      </w:r>
    </w:p>
    <w:p>
      <w:pPr>
        <w:pStyle w:val="Textodecuerpo"/>
      </w:pPr>
      <w:r>
        <w:t xml:space="preserve">Algunas notas sobre la sequía de 2005:</w:t>
      </w:r>
    </w:p>
    <w:p>
      <w:pPr>
        <w:pStyle w:val="Compact"/>
        <w:numPr>
          <w:numId w:val="1006"/>
          <w:ilvl w:val="0"/>
        </w:numPr>
      </w:pPr>
      <w:r>
        <w:t xml:space="preserve">2004/2005 hydrological year is considered one of the worst drooughts ever recorded in the Iberian Peninsula, particularly in the central and southern sectors</w:t>
      </w:r>
      <w:r>
        <w:t xml:space="preserve"> </w:t>
      </w:r>
      <w:r>
        <w:t xml:space="preserve">(García-Herrera et al. 2007)</w:t>
      </w:r>
      <w:r>
        <w:t xml:space="preserve">.</w:t>
      </w:r>
    </w:p>
    <w:p>
      <w:pPr>
        <w:pStyle w:val="Compact"/>
        <w:numPr>
          <w:numId w:val="1006"/>
          <w:ilvl w:val="0"/>
        </w:numPr>
      </w:pPr>
      <w:r>
        <w:t xml:space="preserve">The southern half of Iberia received less than 45 % of the usual precipitation between October 2004 and June 2005</w:t>
      </w:r>
      <w:r>
        <w:t xml:space="preserve"> </w:t>
      </w:r>
      <w:r>
        <w:t xml:space="preserve">(García-Herrera et al. 2007)</w:t>
      </w:r>
      <w:r>
        <w:t xml:space="preserve">.</w:t>
      </w:r>
    </w:p>
    <w:p>
      <w:pPr>
        <w:pStyle w:val="Compact"/>
        <w:numPr>
          <w:numId w:val="1006"/>
          <w:ilvl w:val="0"/>
        </w:numPr>
      </w:pPr>
      <w:r>
        <w:t xml:space="preserve">The hydrological year from October 2004 to September 2005 was the driest on record at several locations throughout Iberia</w:t>
      </w:r>
      <w:r>
        <w:t xml:space="preserve"> </w:t>
      </w:r>
      <w:r>
        <w:t xml:space="preserve">(García-Herrera et al. 2007)</w:t>
      </w:r>
      <w:r>
        <w:t xml:space="preserve">.</w:t>
      </w:r>
    </w:p>
    <w:p>
      <w:pPr>
        <w:pStyle w:val="Compact"/>
        <w:numPr>
          <w:numId w:val="1006"/>
          <w:ilvl w:val="0"/>
        </w:numPr>
      </w:pPr>
      <w:r>
        <w:t xml:space="preserve">An analysis of the long term series from meteorological stations (n=54) of Iberian Peninsula (1961-2011) reveals that major drought episodes in the Iberian Peninsula were recorded in 1981, 1995, 2000 and 2005</w:t>
      </w:r>
      <w:r>
        <w:t xml:space="preserve"> </w:t>
      </w:r>
      <w:r>
        <w:t xml:space="preserve">(Vicente-Serrano et al. 2014)</w:t>
      </w:r>
      <w:r>
        <w:t xml:space="preserve">.</w:t>
      </w:r>
    </w:p>
    <w:p>
      <w:pPr>
        <w:pStyle w:val="Ttulo3"/>
      </w:pPr>
      <w:bookmarkStart w:id="48" w:name="la-resiliencia-de-las-poblaciones-de-roble-de-sierra-nevada."/>
      <w:bookmarkEnd w:id="48"/>
      <w:r>
        <w:t xml:space="preserve">La resiliencia de las poblaciones de roble de Sierra Nevada.</w:t>
      </w:r>
    </w:p>
    <w:p>
      <w:pPr>
        <w:pStyle w:val="FirstParagraph"/>
      </w:pPr>
      <w:r>
        <w:t xml:space="preserve">El greennness de los robledades en Sierra Nevada ha mostrado una tendencia positiva hacia mas verdor en los ultimos años, que coincide con lo que ya observamos con datos de NDVI</w:t>
      </w:r>
      <w:r>
        <w:t xml:space="preserve"> </w:t>
      </w:r>
      <w:r>
        <w:t xml:space="preserve">(Pérez-Luque et al. 2015b)</w:t>
      </w:r>
      <w:r>
        <w:t xml:space="preserve">, sobre todo para las poblaciones del sur. Esta tendencia positiva, obtenida de variables derivadas de remote sensing (EVI y NDVI), parece que también se observa en el crecimiento. Por ejemplo en las poblaciones del sur (CaHigh y CaLow) observamos en los últimos años una ligera tendencia de crecimiento.</w:t>
      </w:r>
    </w:p>
    <w:p>
      <w:pPr>
        <w:pStyle w:val="Textodecuerpo"/>
      </w:pPr>
      <w:r>
        <w:t xml:space="preserve">Aún habiendo pasado varios periodos de sequía severa (sobre todo 2005, el crecimiento -BAI- en el N, se redujo hasta el 45 %), estos robledales han mostrado una alta resiliencia. Por ejemplo para las poblaciones del norte, los valores de EVI durante la sequía de 2005 descendieron hasta el 81 %, mientras que el BAI (sitio SJ) lo hizo hasta el 45 %. Sin embargo, la recuperación fue rápida, así los valores de Recovery (Rc) para el EVI tras la sequía de 2005 (en las poblaciones del norte) fue de 1.17, mientras que para el BAI el Rc fue de 1.112. En definitiva, estamos observando altos valores de resiliencia en estos robledales.</w:t>
      </w:r>
    </w:p>
    <w:p>
      <w:pPr>
        <w:pStyle w:val="Ttulo3"/>
      </w:pPr>
      <w:bookmarkStart w:id="49" w:name="diferencias-entre-sitios"/>
      <w:bookmarkEnd w:id="49"/>
      <w:r>
        <w:t xml:space="preserve">Diferencias entre sitios</w:t>
      </w:r>
    </w:p>
    <w:p>
      <w:pPr>
        <w:pStyle w:val="FirstParagraph"/>
      </w:pPr>
      <w:r>
        <w:t xml:space="preserve">Llama la atención que en el rear-edge de la distribución de la especie, en el sitio mas meridional dentro de este rear edge, y en la parte mas alta (estas parcelas están en el treeline de la especie en SN (en torno a 1900)), es donde encontramos mayores crecimientos. Parece que los robles estuvieran mejor en esta zona. Algunas reflexiones sobre esto:</w:t>
      </w:r>
    </w:p>
    <w:p>
      <w:pPr>
        <w:pStyle w:val="Compact"/>
        <w:numPr>
          <w:numId w:val="1007"/>
          <w:ilvl w:val="0"/>
        </w:numPr>
      </w:pPr>
      <w:r>
        <w:t xml:space="preserve">Quizá están creciendo donde les están dejando (menor impacto antrópico en las zonas mas altas, al menos en los últimos años??)</w:t>
      </w:r>
    </w:p>
    <w:p>
      <w:pPr>
        <w:pStyle w:val="Compact"/>
        <w:numPr>
          <w:numId w:val="1007"/>
          <w:ilvl w:val="0"/>
        </w:numPr>
      </w:pPr>
      <w:r>
        <w:t xml:space="preserve">¿Diferentes niveles de compentencia?. Parece que la competencia es similar en los tres sitios: no diferencias sig. para valores de Stand density ySize ratio proportional to distance (ver table 1).</w:t>
      </w:r>
    </w:p>
    <w:p>
      <w:pPr>
        <w:pStyle w:val="Compact"/>
        <w:numPr>
          <w:numId w:val="1007"/>
          <w:ilvl w:val="0"/>
        </w:numPr>
      </w:pPr>
      <w:r>
        <w:t xml:space="preserve">¿Diferencias entre suelos?? En principio no.</w:t>
      </w:r>
      <w:r>
        <w:t xml:space="preserve"> </w:t>
      </w:r>
      <w:r>
        <w:t xml:space="preserve">(“Taxonomic and functional diversity of a quercus pyrenaica willd. rhizospheric microbiome in the mediterranean mountains” 2017)</w:t>
      </w:r>
      <w:r>
        <w:t xml:space="preserve"> </w:t>
      </w:r>
      <w:r>
        <w:t xml:space="preserve">en un trabajo sobre microbiota del suelo, explora diferencias en un gradiente altitudinal en Cáñar. Analiza 3 sitios: por encima del treline (XZF, el piornal), low altitudinal oak forest (LAF, en la zona baja del robledal) and high altitudinal oak forest (HAF). En su trabajo, LAF está mucho mas bajo, pero HAF está cerca de las parcelas caHigh. Restulados:</w:t>
      </w:r>
    </w:p>
    <w:p>
      <w:pPr>
        <w:pStyle w:val="Compact"/>
        <w:numPr>
          <w:numId w:val="1008"/>
          <w:ilvl w:val="1"/>
        </w:numPr>
      </w:pPr>
      <w:r>
        <w:t xml:space="preserve">tipo de suelo: LAF es Sandy-loam, HAF es loam</w:t>
      </w:r>
    </w:p>
    <w:p>
      <w:pPr>
        <w:pStyle w:val="Compact"/>
        <w:numPr>
          <w:numId w:val="1008"/>
          <w:ilvl w:val="1"/>
        </w:numPr>
      </w:pPr>
      <w:r>
        <w:t xml:space="preserve">HAF tuvo los valores mayores de disponibilidad hídrica (% available water tabla s1 en</w:t>
      </w:r>
      <w:r>
        <w:t xml:space="preserve"> </w:t>
      </w:r>
      <w:r>
        <w:t xml:space="preserve">(“Taxonomic and functional diversity of a quercus pyrenaica willd. rhizospheric microbiome in the mediterranean mountains” 2017)</w:t>
      </w:r>
      <w:r>
        <w:t xml:space="preserve">) –&gt; Esto es importante, creo</w:t>
      </w:r>
    </w:p>
    <w:p>
      <w:pPr>
        <w:pStyle w:val="Compact"/>
        <w:numPr>
          <w:numId w:val="1008"/>
          <w:ilvl w:val="1"/>
        </w:numPr>
      </w:pPr>
      <w:r>
        <w:t xml:space="preserve">Los tres sitios eran pobres en materia orgánica, pero el HAF dobló los valores de los otros dos sitios</w:t>
      </w:r>
    </w:p>
    <w:p>
      <w:pPr>
        <w:pStyle w:val="Compact"/>
        <w:numPr>
          <w:numId w:val="1008"/>
          <w:ilvl w:val="1"/>
        </w:numPr>
      </w:pPr>
      <w:r>
        <w:t xml:space="preserve">No diferencias en contenido de N, C/N ratio similares en HAF, y LAF</w:t>
      </w:r>
    </w:p>
    <w:p>
      <w:pPr>
        <w:numPr>
          <w:numId w:val="1007"/>
          <w:ilvl w:val="0"/>
        </w:numPr>
      </w:pPr>
      <w:r>
        <w:t xml:space="preserve">¿Menor estrés hídrico en zonas mas altas? Puede ser que tengamos menor estrés hídrico en esta zona?? Este robledal, está en la cara sur de SN, y en una ladera con bastante insolación. Algunos trabajos antiguos (de fitosociólogos) hablan de que su presencia aquí se debe a que reciben un aporte extra de humedad procedente de las brisas del mediterráneo, para suplir el mínimo de humedad que necesitan en verano. Quizá también tendríamos que incluir el papel de las acequias. La zona caHigh tiene una acequia muy cerca (y por encima) de donde muestreamos (recordad el roble mas grande, y el mas alto, esta justo en una acequia). No se si es interesante que lo comentemos.</w:t>
      </w:r>
    </w:p>
    <w:p>
      <w:pPr>
        <w:numPr>
          <w:numId w:val="1007"/>
          <w:ilvl w:val="0"/>
        </w:numPr>
      </w:pPr>
      <w:r>
        <w:t xml:space="preserve">Otro punto de interés a introducir aquí es que frecuentemente se asume una alta vulnerabilidad a la sequía de las poblaciones situadas en su dry rear-edge</w:t>
      </w:r>
      <w:r>
        <w:t xml:space="preserve"> </w:t>
      </w:r>
      <w:r>
        <w:t xml:space="preserve">(Martínez-Vilalta 2018)</w:t>
      </w:r>
      <w:r>
        <w:t xml:space="preserve">, sin embargo algunos estudios están demostrando esto no es siempre así (ver por ejemplo</w:t>
      </w:r>
      <w:r>
        <w:t xml:space="preserve"> </w:t>
      </w:r>
      <w:r>
        <w:t xml:space="preserve">(Cavin and Jump 2017, Granda et al. 2017)</w:t>
      </w:r>
      <w:r>
        <w:t xml:space="preserve">). Nuestros resultados creo que van en esta línea creo. Esto, como apunta</w:t>
      </w:r>
      <w:r>
        <w:t xml:space="preserve"> </w:t>
      </w:r>
      <w:r>
        <w:t xml:space="preserve">(Martínez-Vilalta 2018)</w:t>
      </w:r>
      <w:r>
        <w:t xml:space="preserve">m tiene que ver con la que consideramos como habitat marginal de la especie (… When the focus is on marginal, rear-edge populations, proper consideration should be given to the different ways in which marginality can be defined (stressing geographical, climatic or other ecological factors).</w:t>
      </w:r>
    </w:p>
    <w:p>
      <w:pPr>
        <w:pStyle w:val="FirstParagraph"/>
      </w:pPr>
      <w:r>
        <w:t xml:space="preserve">En un estudio a escala continental,</w:t>
      </w:r>
      <w:r>
        <w:t xml:space="preserve"> </w:t>
      </w:r>
      <w:r>
        <w:t xml:space="preserve">(Bhuyan et al. 2017)</w:t>
      </w:r>
      <w:r>
        <w:t xml:space="preserve"> </w:t>
      </w:r>
      <w:r>
        <w:t xml:space="preserve">encontraron que para la misma especie (estudiaron 850 sites: Fagus sylvatica, Abies alba, Picea abies, Larix decidua, Pinus cembra, P sylvestris, P nigra, Quercus petraea y Q robur) los stands situados a mayores elevaciones fueron menos sensibles a la sequía que los situados a elevaciones inferiores (stands were less drought sensitive at higher elevations compared to lower elevations).</w:t>
      </w:r>
      <w:r>
        <w:t xml:space="preserve"> </w:t>
      </w:r>
      <w:r>
        <w:t xml:space="preserve">The effect of elevation was seen clearly in the case of several species where high elevation sites showed greater drought resistance compared to stands at lower elevation in the same climate zone.</w:t>
      </w:r>
    </w:p>
    <w:p>
      <w:pPr>
        <w:pStyle w:val="Textodecuerpo"/>
      </w:pPr>
      <w:r>
        <w:t xml:space="preserve">Otra cosa.</w:t>
      </w:r>
      <w:r>
        <w:t xml:space="preserve"> </w:t>
      </w:r>
      <w:r>
        <w:t xml:space="preserve">Gea-Izquierdo and Cañellas (2014)</w:t>
      </w:r>
      <w:r>
        <w:t xml:space="preserve"> </w:t>
      </w:r>
      <w:r>
        <w:t xml:space="preserve">encontró que a lo largo del gradiente altitudinal el BAI se estabilizó o disminuyó a partir de 1970. DUDA: Nosotros encontramos un ligero (y débil) aumento, sobre todo en caHigh.</w:t>
      </w:r>
    </w:p>
    <w:p>
      <w:pPr>
        <w:pStyle w:val="Ttulo3"/>
      </w:pPr>
      <w:bookmarkStart w:id="50" w:name="otra-cosa"/>
      <w:bookmarkEnd w:id="50"/>
      <w:r>
        <w:t xml:space="preserve">OTRA COSA</w:t>
      </w:r>
    </w:p>
    <w:p>
      <w:pPr>
        <w:pStyle w:val="Ttulo4"/>
      </w:pPr>
      <w:bookmarkStart w:id="51" w:name="climate-and-tree-relationship"/>
      <w:bookmarkEnd w:id="51"/>
      <w:r>
        <w:t xml:space="preserve">Climate and tree relationship</w:t>
      </w:r>
    </w:p>
    <w:p>
      <w:pPr>
        <w:pStyle w:val="FirstParagraph"/>
      </w:pPr>
      <w:r>
        <w:t xml:space="preserve">Frase de resultados que tenemos que poner en discussion:</w:t>
      </w:r>
      <w:r>
        <w:t xml:space="preserve"> </w:t>
      </w:r>
      <w:r>
        <w:t xml:space="preserve">Precipitation of previous december was also positively correlated with tree growth in the northern population and in the highest location of the southern population. Hydrological, Spring and Summer SPEI showed a strong positive correlation with tree-growth (Figure 7b), specially for the northern population (r &gt; 0.6), …</w:t>
      </w:r>
      <w:r>
        <w:t xml:space="preserve"> </w:t>
      </w:r>
      <w:r>
        <w:rPr>
          <w:b/>
        </w:rPr>
        <w:t xml:space="preserve">which can be interpreted as higher sensitivity to drought of a drier site</w:t>
      </w:r>
      <w:r>
        <w:rPr>
          <w:b/>
        </w:rPr>
        <w:t xml:space="preserve"> </w:t>
      </w:r>
      <w:r>
        <w:rPr>
          <w:b/>
        </w:rPr>
        <w:t xml:space="preserve">(Gea-Izquierdo and Cañellas 2014)</w:t>
      </w:r>
      <w:r>
        <w:t xml:space="preserve">.</w:t>
      </w:r>
      <w:r>
        <w:br w:type="textWrapping"/>
      </w:r>
      <w:r>
        <w:t xml:space="preserve">#### Disturbance</w:t>
      </w:r>
      <w:r>
        <w:t xml:space="preserve"> </w:t>
      </w:r>
      <w:r>
        <w:t xml:space="preserve">Estos periodos se relacionan bien con eventos antrópicos: mineria (el primero de ellos) y actividades forestales el segundo (esta frase de la minería y demás la dejamos para la discusión??).</w:t>
      </w:r>
    </w:p>
    <w:p>
      <w:pPr>
        <w:pStyle w:val="Ttulo3"/>
      </w:pPr>
      <w:bookmarkStart w:id="52" w:name="que-factor-es-mas-limitante-para-el-crecimiento-en-el-rear-edge-de-q.-pyrenaica"/>
      <w:bookmarkEnd w:id="52"/>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Compact"/>
        <w:numPr>
          <w:numId w:val="1009"/>
          <w:ilvl w:val="0"/>
        </w:numPr>
      </w:pPr>
      <w:r>
        <w:t xml:space="preserve">Vicente-Serrano:</w:t>
      </w:r>
    </w:p>
    <w:p>
      <w:pPr>
        <w:pStyle w:val="Compact"/>
        <w:numPr>
          <w:numId w:val="1010"/>
          <w:ilvl w:val="1"/>
        </w:numPr>
      </w:pPr>
      <w:r>
        <w:t xml:space="preserve">We found that some forests from cold and humid areas respond to shorter drought time-scales than forests from dry areas, which usually respond to longer time-scales</w:t>
      </w:r>
    </w:p>
    <w:p>
      <w:pPr>
        <w:pStyle w:val="Compact"/>
        <w:numPr>
          <w:numId w:val="1010"/>
          <w:ilvl w:val="1"/>
        </w:numPr>
      </w:pPr>
      <w:r>
        <w:t xml:space="preserve">Growth and responses to drought are modulated by site conditions such as soil type, specific functional traits and the intensity of competition among neighbouring trees (Orwig &amp; Abrams, 1997; McDowell et al., 2008; Linares et al., 2010; Pasho et al., 2011).</w:t>
      </w:r>
    </w:p>
    <w:p>
      <w:pPr>
        <w:pStyle w:val="Compact"/>
        <w:numPr>
          <w:numId w:val="1010"/>
          <w:ilvl w:val="1"/>
        </w:numPr>
      </w:pPr>
      <w:r>
        <w:t xml:space="preserve">Our findings provide evidence that the patterns of growth response to drought do not follow a general geographical structure and that these patterns are driven by the biogeographical, topographic and climatic conditions of each site, showing that forests located in different continents have the same pattern of response to drought time-scales.</w:t>
      </w:r>
    </w:p>
    <w:p>
      <w:pPr>
        <w:pStyle w:val="FirstParagraph"/>
      </w:pPr>
      <w:r>
        <w:t xml:space="preserve">duda –&gt; las proyecciones de crecimiento que hiciste</w:t>
      </w:r>
      <w:r>
        <w:t xml:space="preserve"> </w:t>
      </w:r>
      <w:r>
        <w:t xml:space="preserve">(Gea-Izquierdo et al. 2013)</w:t>
      </w:r>
      <w:r>
        <w:t xml:space="preserve"> </w:t>
      </w:r>
      <w:r>
        <w:t xml:space="preserve">sugerían un declive en el crecimiento. Nosotros estamos obteniendo algo diferente no? DUDA</w:t>
      </w:r>
    </w:p>
    <w:p>
      <w:pPr>
        <w:pStyle w:val="Ttulo2"/>
      </w:pPr>
      <w:bookmarkStart w:id="53" w:name="historia-forestal-de-ambos-sitios"/>
      <w:bookmarkEnd w:id="53"/>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11"/>
          <w:ilvl w:val="0"/>
        </w:numPr>
      </w:pPr>
      <w:r>
        <w:t xml:space="preserve">Minería: datos de minería, que afectan sobre todo a la población de SJ (los tenemos localizados temporalmente)</w:t>
      </w:r>
    </w:p>
    <w:p>
      <w:pPr>
        <w:pStyle w:val="Compact"/>
        <w:numPr>
          <w:numId w:val="1011"/>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11"/>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54" w:name="refugio"/>
      <w:bookmarkEnd w:id="54"/>
      <w:r>
        <w:t xml:space="preserve">refugio??</w:t>
      </w:r>
    </w:p>
    <w:p>
      <w:pPr>
        <w:pStyle w:val="FirstParagraph"/>
      </w:pPr>
      <w:r>
        <w:t xml:space="preserve">Los robledales de SN estén situadas en su borde rear-edge donde se supone que sufren mas estrés climático. Hemos observado un aumento en el greenness en los últimos años. Por otro lado, hemos encontrado que son poblaciones resilientes a la sequía, tanto para el crecimiento como para el greenness. Además, estos robledales tienen una alta resiliencia genética</w:t>
      </w:r>
      <w:r>
        <w:t xml:space="preserve"> </w:t>
      </w:r>
      <w:r>
        <w:t xml:space="preserve">(Valbuena-Carabaña and Gil 2013, 2017)</w:t>
      </w:r>
      <w:r>
        <w:t xml:space="preserve">. ¿Sierra Nevada (regiones de montaña) como refugio?? quizá este rear-edge esté actuando como refugio?? (esto es muy especulativo)</w:t>
      </w:r>
    </w:p>
    <w:p>
      <w:pPr>
        <w:pStyle w:val="Ttulo2"/>
      </w:pPr>
      <w:bookmarkStart w:id="55" w:name="mas-cosas-diferentes"/>
      <w:bookmarkEnd w:id="55"/>
      <w:r>
        <w:t xml:space="preserve">MAs cosas diferentes</w:t>
      </w:r>
    </w:p>
    <w:p>
      <w:pPr>
        <w:pStyle w:val="FirstParagraph"/>
      </w:pPr>
      <w:r>
        <w:t xml:space="preserve">Otras especies: rear edge</w:t>
      </w:r>
    </w:p>
    <w:p>
      <w:pPr>
        <w:pStyle w:val="Textodecuerpo"/>
      </w:pPr>
      <w:r>
        <w:t xml:space="preserve">Evaluar el crecimiento en el rear edge de F. sylvatica</w:t>
      </w:r>
    </w:p>
    <w:p>
      <w:pPr>
        <w:pStyle w:val="Textodecuerpo"/>
      </w:pPr>
      <w:hyperlink r:id="rId56">
        <w:r>
          <w:rPr>
            <w:rStyle w:val="Hipervnculo"/>
          </w:rPr>
          <w:t xml:space="preserve">https://link.springer.com/article/10.1007/s10342-016-0982-7?wt_mc=Internal.Event.1.SEM.ArticleAuthorOnlineFirst</w:t>
        </w:r>
      </w:hyperlink>
    </w:p>
    <w:p>
      <w:pPr>
        <w:pStyle w:val="Textodecuerpo"/>
      </w:pPr>
      <w:r>
        <w:t xml:space="preserve">¿Que limita al crecimiento en el borde sur de su distribucion? –&gt; Ver esto</w:t>
      </w:r>
      <w:r>
        <w:t xml:space="preserve"> </w:t>
      </w:r>
      <w:hyperlink r:id="rId57">
        <w:r>
          <w:rPr>
            <w:rStyle w:val="Hipervnculo"/>
          </w:rPr>
          <w:t xml:space="preserve">http://onlinelibrary.wiley.com/doi/10.1111/j.1365-2486.2006.01250.x/abstract</w:t>
        </w:r>
      </w:hyperlink>
    </w:p>
    <w:p>
      <w:pPr>
        <w:pStyle w:val="Textodecuerpo"/>
      </w:pPr>
      <w:r>
        <w:t xml:space="preserve">Pinus sylvestris (Baza) (Matias et al 2017)</w:t>
      </w:r>
      <w:r>
        <w:t xml:space="preserve"> </w:t>
      </w:r>
      <w:r>
        <w:t xml:space="preserve">Radial growth was maximal at medium altitude and treeline of the southernmost populations. Temperature was the main factor controlling growth variability along the gradients, although the timing and strength of climatic variables affecting growth shifted with latitude and altitude.</w:t>
      </w:r>
    </w:p>
    <w:p>
      <w:pPr>
        <w:pStyle w:val="Textodecuerpo"/>
      </w:pPr>
      <w:hyperlink r:id="rId58">
        <w:r>
          <w:rPr>
            <w:rStyle w:val="Hipervnculo"/>
          </w:rPr>
          <w:t xml:space="preserve">http://onlinelibrary.wiley.com/doi/10.1111/gcb.13627/full</w:t>
        </w:r>
      </w:hyperlink>
    </w:p>
    <w:p>
      <w:pPr>
        <w:pStyle w:val="Textodecuerpo"/>
      </w:pPr>
      <w:r>
        <w:t xml:space="preserve">Idea –&gt; algunos autores comentan que puede existir una alteración en el balance competitivo entre especies en mixed stands. Por ejemplo en Montseny, borde equatorial para F. sylvatica, se está viendo que el F. sylvatica está siendo reemplazado por Q. ilex. … En SN, el artículo de B. Benito (Climatic Change) habla del remplazo que existirá de Q. pyrenaica por Q. ilex, sin embargo, estamos viendo que los crecimientos son muy grandes y que Q. pyrenaica tiene mucha resiliencia –&gt; entonces que pasa con las predicciones de dichos modelos ???</w:t>
      </w:r>
    </w:p>
    <w:p>
      <w:pPr>
        <w:pStyle w:val="Ttulo3"/>
      </w:pPr>
      <w:bookmarkStart w:id="59" w:name="esto-viene-del-apartado-radial-growth-trends-and-climate"/>
      <w:bookmarkEnd w:id="59"/>
      <w:r>
        <w:t xml:space="preserve">Esto viene del apartado Radial growth trends and climate</w:t>
      </w:r>
    </w:p>
    <w:p>
      <w:pPr>
        <w:pStyle w:val="Compact"/>
        <w:numPr>
          <w:numId w:val="1012"/>
          <w:ilvl w:val="0"/>
        </w:numPr>
      </w:pPr>
      <w:r>
        <w:t xml:space="preserve">Aqui me comentó GGI que distribuyera esto bien entre results y discussion</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tulo2"/>
      </w:pPr>
      <w:bookmarkStart w:id="60" w:name="references"/>
      <w:bookmarkEnd w:id="60"/>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 Different responses of multispecies tree ring growth to various drought indices across europe. Dendrochronologia 44:1–8.</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Peñuelas,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Dunn, O. 1964. Multiple comparisons using rank sums. Technometrics 6:241–252.</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Páscoa, P., C. Gouveia, A. Russo, and R. Trigo. 2017. Drought trends in the iberian peninsula over the last 112 years. Advances in Meteorology:ID4653126.</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Rubino, D., and B. McCarthy. 2004. Comparative analysis of dendroecological methods used to assess disturbance events. Dendrochronologia 21:97–115.</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Taxonomic and functional diversity of a quercus pyrenaica willd. rhizospheric microbiome in the mediterranean mountains. 2017. Forests 8:390.</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Zang, C., and F. Biondi. 2015. Treeclim: An r package for the numerical calibration of proxy-climate relationships. Ecography 38:431–436.</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59c24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ce42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monitordesequia.csic.es/" TargetMode="External" /><Relationship Type="http://schemas.openxmlformats.org/officeDocument/2006/relationships/hyperlink" Id="rId58" Target="http://onlinelibrary.wiley.com/doi/10.1111/gcb.13627/full" TargetMode="External" /><Relationship Type="http://schemas.openxmlformats.org/officeDocument/2006/relationships/hyperlink" Id="rId57" Target="http://onlinelibrary.wiley.com/doi/10.1111/j.1365-2486.2006.01250.x/abstract" TargetMode="External" /><Relationship Type="http://schemas.openxmlformats.org/officeDocument/2006/relationships/hyperlink" Id="rId32" Target="http://www.meteo.unican.es/en/climate4R" TargetMode="External" /><Relationship Type="http://schemas.openxmlformats.org/officeDocument/2006/relationships/hyperlink" Id="rId56" Target="https://link.springer.com/article/10.1007/s10342-016-0982-7?wt_mc=Internal.Event.1.SEM.ArticleAuthorOnlineFirst" TargetMode="External" /><Relationship Type="http://schemas.openxmlformats.org/officeDocument/2006/relationships/hyperlink" Id="rId46" Target="https://www.sciencedirect.com/science/article/pii/S003442571630373X" TargetMode="External" /></Relationships>
</file>

<file path=word/_rels/footnotes.xml.rels><?xml version="1.0" encoding="UTF-8"?>
<Relationships xmlns="http://schemas.openxmlformats.org/package/2006/relationships"><Relationship Type="http://schemas.openxmlformats.org/officeDocument/2006/relationships/hyperlink" Id="rId33" Target="http://monitordesequia.csic.es/" TargetMode="External" /><Relationship Type="http://schemas.openxmlformats.org/officeDocument/2006/relationships/hyperlink" Id="rId58" Target="http://onlinelibrary.wiley.com/doi/10.1111/gcb.13627/full" TargetMode="External" /><Relationship Type="http://schemas.openxmlformats.org/officeDocument/2006/relationships/hyperlink" Id="rId57" Target="http://onlinelibrary.wiley.com/doi/10.1111/j.1365-2486.2006.01250.x/abstract" TargetMode="External" /><Relationship Type="http://schemas.openxmlformats.org/officeDocument/2006/relationships/hyperlink" Id="rId32" Target="http://www.meteo.unican.es/en/climate4R" TargetMode="External" /><Relationship Type="http://schemas.openxmlformats.org/officeDocument/2006/relationships/hyperlink" Id="rId56" Target="https://link.springer.com/article/10.1007/s10342-016-0982-7?wt_mc=Internal.Event.1.SEM.ArticleAuthorOnlineFirst" TargetMode="External" /><Relationship Type="http://schemas.openxmlformats.org/officeDocument/2006/relationships/hyperlink" Id="rId46" Target="https://www.sciencedirect.com/science/article/pii/S003442571630373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2018-02-22T08:39:06Z</dcterms:created>
  <dcterms:modified xsi:type="dcterms:W3CDTF">2018-02-22T08:39:06Z</dcterms:modified>
</cp:coreProperties>
</file>