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54.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
      <w:bookmarkEnd w:id="21"/>
      <w:r>
        <w:t xml:space="preserve">Intro</w:t>
      </w:r>
    </w:p>
    <w:p>
      <w:pPr>
        <w:pStyle w:val="Ttulo2"/>
      </w:pPr>
      <w:bookmarkStart w:id="22" w:name="section"/>
      <w:bookmarkEnd w:id="22"/>
    </w:p>
    <w:p>
      <w:pPr>
        <w:pStyle w:val="FirstParagraph"/>
      </w:pPr>
      <w:r>
        <w:t xml:space="preserve">Objetivos del trabajo</w:t>
      </w:r>
    </w:p>
    <w:p>
      <w:pPr>
        <w:pStyle w:val="Ttulo3"/>
      </w:pPr>
      <w:bookmarkStart w:id="23" w:name="aims"/>
      <w:bookmarkEnd w:id="23"/>
      <w:r>
        <w:t xml:space="preserve">Aims</w:t>
      </w:r>
    </w:p>
    <w:p>
      <w:pPr>
        <w:pStyle w:val="FirstParagraph"/>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Textodecuerpo"/>
      </w:pPr>
      <w:r>
        <w:t xml:space="preserve">The aims of this work were:</w:t>
      </w:r>
    </w:p>
    <w:p>
      <w:pPr>
        <w:numPr>
          <w:numId w:val="1001"/>
          <w:ilvl w:val="0"/>
        </w:numPr>
      </w:pPr>
      <w:r>
        <w:t xml:space="preserve">To quantify how two extreme drought events influenced the greenness and radial growth of</w:t>
      </w:r>
      <w:r>
        <w:t xml:space="preserve"> </w:t>
      </w:r>
      <w:r>
        <w:rPr>
          <w:i/>
        </w:rPr>
        <w:t xml:space="preserve">Q. pyreancia</w:t>
      </w:r>
      <w:r>
        <w:t xml:space="preserve"> </w:t>
      </w:r>
      <w:r>
        <w:t xml:space="preserve">forests in their rear edge,</w:t>
      </w:r>
    </w:p>
    <w:p>
      <w:pPr>
        <w:numPr>
          <w:numId w:val="1001"/>
          <w:ilvl w:val="0"/>
        </w:numPr>
      </w:pPr>
      <w:r>
        <w:t xml:space="preserve">to analyze the resilience of these forests to successive extreme drought events,</w:t>
      </w:r>
    </w:p>
    <w:p>
      <w:pPr>
        <w:numPr>
          <w:numId w:val="1001"/>
          <w:ilvl w:val="0"/>
        </w:numPr>
      </w:pPr>
      <w:r>
        <w:t xml:space="preserve">and to explore differences in the resilience metrics between populations located in contrasting slopes within the rear edge of the distribution of this species.Do northern and southern populations of Pyrenean oak forests differ in their resistance, resilience or recovery to extreme drought events?</w:t>
      </w:r>
    </w:p>
    <w:p>
      <w:pPr>
        <w:pStyle w:val="Ttulo1"/>
      </w:pPr>
      <w:bookmarkStart w:id="24" w:name="materials-and-methods"/>
      <w:bookmarkEnd w:id="24"/>
      <w:r>
        <w:t xml:space="preserve">Materials and methods</w:t>
      </w:r>
    </w:p>
    <w:p>
      <w:pPr>
        <w:pStyle w:val="Ttulo2"/>
      </w:pPr>
      <w:bookmarkStart w:id="25" w:name="species-and-study-site"/>
      <w:bookmarkEnd w:id="25"/>
      <w:r>
        <w:t xml:space="preserve">Species and study site</w:t>
      </w:r>
    </w:p>
    <w:p>
      <w:pPr>
        <w:pStyle w:val="FirstParagraph"/>
      </w:pPr>
      <w:r>
        <w:t xml:space="preserve">The Pyrenean oak (</w:t>
      </w:r>
      <w:r>
        <w:rPr>
          <w:i/>
        </w:rPr>
        <w:t xml:space="preserve">Quercus pyrenaica</w:t>
      </w:r>
      <w:r>
        <w:t xml:space="preserve"> </w:t>
      </w:r>
      <w:r>
        <w:t xml:space="preserve">Willd.) forests extend through south-western France and the Iberian Peninsula</w:t>
      </w:r>
      <w:r>
        <w:t xml:space="preserve"> </w:t>
      </w:r>
      <w:r>
        <w:t xml:space="preserve">(Franco 1990)</w:t>
      </w:r>
      <w:r>
        <w:t xml:space="preserve"> </w:t>
      </w:r>
      <w:r>
        <w:t xml:space="preserve">reaching its southern limit in north of Morocco. In the Iberian Peninsula these forests live under meso-supramediterranean and mesotemperate areas and subhumid, humid and hyperhumid ombroclimate</w:t>
      </w:r>
      <w:r>
        <w:t xml:space="preserve"> </w:t>
      </w:r>
      <w:r>
        <w:t xml:space="preserve">(Rivas-Martínez et al. 2002)</w:t>
      </w:r>
      <w:r>
        <w:t xml:space="preserve"> </w:t>
      </w:r>
      <w:r>
        <w:t xml:space="preserve">living on siliceous soils, or soils poor in basic ions</w:t>
      </w:r>
      <w:r>
        <w:t xml:space="preserve"> </w:t>
      </w:r>
      <w:r>
        <w:t xml:space="preserve">(Vilches de la Serna 2014)</w:t>
      </w:r>
      <w:r>
        <w:t xml:space="preserve">.</w:t>
      </w:r>
      <w:r>
        <w:t xml:space="preserve"> </w:t>
      </w:r>
      <w:r>
        <w:rPr>
          <w:i/>
        </w:rPr>
        <w:t xml:space="preserve">Q. pyrenaica</w:t>
      </w:r>
      <w:r>
        <w:t xml:space="preserve"> </w:t>
      </w:r>
      <w:r>
        <w:t xml:space="preserve">requires between 650 and 1200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at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generally associated to major river valleys. Sierra Nevada is considered a glacial refugia for deciduous</w:t>
      </w:r>
      <w:r>
        <w:t xml:space="preserve"> </w:t>
      </w:r>
      <w:r>
        <w:rPr>
          <w:i/>
        </w:rPr>
        <w:t xml:space="preserve">Quercus</w:t>
      </w:r>
      <w:r>
        <w:t xml:space="preserve"> </w:t>
      </w:r>
      <w:r>
        <w:t xml:space="preserve">species during glaciation</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the last few decades</w:t>
      </w:r>
      <w:r>
        <w:t xml:space="preserve"> </w:t>
      </w:r>
      <w:r>
        <w:t xml:space="preserve">(Camacho-Olmedo et al. 2002, Valbuena-Carabaña et al. 2010, Valbuena-Carabaña and Gil 2017)</w:t>
      </w:r>
      <w:r>
        <w:t xml:space="preserve">. In fact, the status of conservation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as well as to its high intraspecific genetic diversity</w:t>
      </w:r>
      <w:r>
        <w:t xml:space="preserve"> </w:t>
      </w:r>
      <w:r>
        <w:t xml:space="preserve">(Valbuena-Carabaña et al. 2010)</w:t>
      </w:r>
      <w:r>
        <w:t xml:space="preserve">. However, they are also expected to suffer the impact of climate change, due to their climate requirements (wet summers).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6" w:name="drought-episodes"/>
      <w:bookmarkEnd w:id="26"/>
      <w:r>
        <w:t xml:space="preserve">Drought episodes</w:t>
      </w:r>
    </w:p>
    <w:p>
      <w:pPr>
        <w:pStyle w:val="FirstParagraph"/>
      </w:pPr>
      <w:r>
        <w:t xml:space="preserve">The years 2005 and 2012 were chosen as drought years for this study because they have been documented as two of the worst drought years particularly for the southern of the Iberian Peninsula</w:t>
      </w:r>
      <w:r>
        <w:t xml:space="preserve"> </w:t>
      </w:r>
      <w:r>
        <w:t xml:space="preserve">(García-Herrera et al. 2007, Trigo et al. 2013, Gouveia et al. 2015)</w:t>
      </w:r>
      <w:r>
        <w:t xml:space="preserve"> </w:t>
      </w:r>
      <w:r>
        <w:t xml:space="preserve">and the were charecterized by extreme drogught (Figure S1). Aunque sabemos que existen otros años de sequía extrema (e.g. 1995, 1981)</w:t>
      </w:r>
      <w:r>
        <w:t xml:space="preserve"> </w:t>
      </w:r>
      <w:r>
        <w:t xml:space="preserve">(Vicente-Serrano et al. 2014)</w:t>
      </w:r>
      <w:r>
        <w:t xml:space="preserve">, no se han elegido por una limitación metodológica, esto es, nuestro objetivo es analizar el efecto de la sequía y la resiliencia a los eventos de sequía utilizando información de satélite y de dendrocronología, y la información de satélite utilizada (ver mas adelante) solamente está disponible desde el año 2000 en adelante.</w:t>
      </w:r>
    </w:p>
    <w:p>
      <w:pPr>
        <w:pStyle w:val="Ttulo2"/>
      </w:pPr>
      <w:bookmarkStart w:id="27" w:name="greenness-data"/>
      <w:bookmarkEnd w:id="27"/>
      <w:r>
        <w:t xml:space="preserve">Greenness data</w:t>
      </w:r>
    </w:p>
    <w:p>
      <w:pPr>
        <w:pStyle w:val="FirstParagraph"/>
      </w:pPr>
      <w:r>
        <w:t xml:space="preserve">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MODIS EVI Data from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A data filtering was applied to select EVI valid values. The filtering was done using quality flags and VI Usefulness Indices accompanying the EVI data. We filter out those values affected by high content of aerosols, clouds, snow and shadows, following the filtering recomendations of EVI data for mountain regions</w:t>
      </w:r>
      <w:r>
        <w:t xml:space="preserve"> </w:t>
      </w:r>
      <w:r>
        <w:t xml:space="preserve">(Reyes-Díez et al. 2015)</w:t>
      </w:r>
      <w:r>
        <w:t xml:space="preserve">.</w:t>
      </w:r>
    </w:p>
    <w:p>
      <w:pPr>
        <w:pStyle w:val="Textodecuerpo"/>
      </w:pPr>
      <w:r>
        <w:t xml:space="preserve">After the filter out process, we built the annual EVI profile for each pixel and then computed the EVI’s annual mean values and the EVI anomaly for each pixel for the period 2000 - 2016. EVI mean 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We explored the temporal trends of EVI at a pixel scale. We computed the nonparametric Mann–Kendall test (Kendall, 1975; Mann, 1945), using the</w:t>
      </w:r>
      <w:r>
        <w:t xml:space="preserve"> </w:t>
      </w:r>
      <w:r>
        <w:rPr>
          <w:rStyle w:val="VerbatimChar"/>
        </w:rPr>
        <w:t xml:space="preserve">trend</w:t>
      </w:r>
      <w:r>
        <w:t xml:space="preserve"> </w:t>
      </w:r>
      <w:r>
        <w:t xml:space="preserve">package</w:t>
      </w:r>
      <w:r>
        <w:t xml:space="preserve"> </w:t>
      </w:r>
      <w:r>
        <w:t xml:space="preserve">(Pohlert 2017)</w:t>
      </w:r>
      <w:r>
        <w:t xml:space="preserve">. We set 0.05 the alpha level for the test.</w:t>
      </w:r>
    </w:p>
    <w:p>
      <w:pPr>
        <w:pStyle w:val="Textodecuerpo"/>
      </w:pPr>
      <w:r>
        <w:t xml:space="preserve">To explore the effect of drought events on greenness we calculated the EVI standardized anomaly (</w:t>
      </w:r>
      <m:oMath>
        <m:r>
          <m:t>E</m:t>
        </m:r>
        <m:r>
          <m:t>V</m:t>
        </m:r>
        <m:r>
          <m:t>I</m:t>
        </m:r>
        <m:r>
          <m:t> </m:t>
        </m:r>
        <m:r>
          <m:t>s</m:t>
        </m:r>
        <m:r>
          <m:t>a</m:t>
        </m:r>
      </m:oMath>
      <w:r>
        <w:t xml:space="preserve">) pixel-by-pixel, since it minimizes biases in the evaluation of anomalies, providing more information about the magnitude of the anomalies</w:t>
      </w:r>
      <w:r>
        <w:t xml:space="preserve"> </w:t>
      </w:r>
      <w:r>
        <w:t xml:space="preserve">(Samanta et al. 2012, Gao et al. 2016)</w:t>
      </w:r>
      <w:r>
        <w:t xml:space="preserve">. For each pixel we annually averaged all the EVI valid values,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tulo2"/>
      </w:pPr>
      <w:bookmarkStart w:id="28" w:name="field-sampling-and-dendrochronological-methods"/>
      <w:bookmarkEnd w:id="28"/>
      <w:r>
        <w:t xml:space="preserve">Field sampling and dendrochronological methods</w:t>
      </w:r>
    </w:p>
    <w:p>
      <w:pPr>
        <w:pStyle w:val="Ttulo3"/>
      </w:pPr>
      <w:bookmarkStart w:id="29" w:name="tree-sampling"/>
      <w:bookmarkEnd w:id="29"/>
      <w:r>
        <w:t xml:space="preserve">Tree sampling</w:t>
      </w:r>
    </w:p>
    <w:p>
      <w:pPr>
        <w:pStyle w:val="FirstParagraph"/>
      </w:pPr>
      <w:r>
        <w:t xml:space="preserve">Sampling was carried during autumn of 2016. Trees were sampled at two locations in contrasting slopes of Sierra Nevada: San Juan (SJ; northern aspect) and Cáñar (CA; southern aspect) (Figure 1; Table 1).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We assessed stand competition of target trees by recording distance, azimuth, dbh, species and total height of all neighboring living trees with dbh &gt; 7.5 cm in a circular plot of 10 m radius. We computed two distance independent indices:</w:t>
      </w:r>
      <w:r>
        <w:t xml:space="preserve"> </w:t>
      </w:r>
      <w:r>
        <w:rPr>
          <w:i/>
        </w:rPr>
        <w:t xml:space="preserve">density</w:t>
      </w:r>
      <w:r>
        <w:t xml:space="preserve"> </w:t>
      </w:r>
      <w:r>
        <w:t xml:space="preserve">in</w:t>
      </w:r>
      <w:r>
        <w:t xml:space="preserve"> </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 in</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one distance dependent indices: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We used non-parametric Kruskal-Wallis rank sum tests</w:t>
      </w:r>
      <w:r>
        <w:t xml:space="preserve"> </w:t>
      </w:r>
      <w:r>
        <w:t xml:space="preserve">(Sokal and Rohlf 1995)</w:t>
      </w:r>
      <w:r>
        <w:t xml:space="preserve"> </w:t>
      </w:r>
      <w:r>
        <w:t xml:space="preserve">for search differences between sites for height, DBH and competence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w:t>
      </w:r>
      <w:r>
        <w:t xml:space="preserve"> </w:t>
      </w:r>
      <w:r>
        <w:t xml:space="preserve">(Pohlert 2014)</w:t>
      </w:r>
      <w:r>
        <w:t xml:space="preserve">.</w:t>
      </w:r>
    </w:p>
    <w:p>
      <w:pPr>
        <w:pStyle w:val="Ttulo3"/>
      </w:pPr>
      <w:bookmarkStart w:id="30" w:name="dendroecological-analyses"/>
      <w:bookmarkEnd w:id="30"/>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Validation of the cross-dating was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we used pre-whitened residual chronologies (RWI)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w:t>
      </w:r>
      <w:r>
        <w:t xml:space="preserve"> </w:t>
      </w:r>
      <w:r>
        <w:t xml:space="preserve">(Wigley et al. 1984)</w:t>
      </w:r>
      <w:r>
        <w:t xml:space="preserve">.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We used measured dbh and raw ring-widths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We calculated a mean BAI serie for each individual tree. Mean site BAI chronologies were obtained by averaging individual tree BAI time series.</w:t>
      </w:r>
    </w:p>
    <w:p>
      <w:pPr>
        <w:pStyle w:val="Textodecuerpo"/>
      </w:pPr>
      <w:r>
        <w:t xml:space="preserve">Both RWI and BAI chronologies were compared to different climatic indices to analyse the tree low and the high-frequency response to climate. Statistical descriptive parameters</w:t>
      </w:r>
      <w:r>
        <w:t xml:space="preserve"> </w:t>
      </w:r>
      <w:r>
        <w:t xml:space="preserve">(Fritts 1976)</w:t>
      </w:r>
      <w:r>
        <w:t xml:space="preserve"> </w:t>
      </w:r>
      <w:r>
        <w:t xml:space="preserve">including the mean, standard deviation, first-order autocorrelation of raw series, the mean sensitivity (a measure of the year-to-year variability) and the mean correlation between individual series of residual ring-width indices, were also calculated for each site chronology.</w:t>
      </w:r>
    </w:p>
    <w:p>
      <w:pPr>
        <w:pStyle w:val="Ttulo3"/>
      </w:pPr>
      <w:bookmarkStart w:id="31" w:name="climate-and-growth"/>
      <w:bookmarkEnd w:id="31"/>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2">
        <w:r>
          <w:rPr>
            <w:rStyle w:val="Hipervnculo"/>
          </w:rPr>
          <w:t xml:space="preserve">http://www.meteo.unican.es/en/climate4R</w:t>
        </w:r>
      </w:hyperlink>
      <w:r>
        <w:t xml:space="preserve">)</w:t>
      </w:r>
      <w:r>
        <w:t xml:space="preserve"> </w:t>
      </w:r>
      <w:r>
        <w:t xml:space="preserve">(Cofiño et al. 2018, Frías et al. 2018)</w:t>
      </w:r>
      <w:r>
        <w:t xml:space="preserve">. We also used the Standardized Precipitation-Evapotranspiration Index (SPEI), a multiscalar drought index that incorporates both precipitation and temperature</w:t>
      </w:r>
      <w:r>
        <w:t xml:space="preserve"> </w:t>
      </w:r>
      <w:r>
        <w:t xml:space="preserve">(Vicente-Serrano et al. 2010, Beguería et al. 2014)</w:t>
      </w:r>
      <w:r>
        <w:t xml:space="preserve">. SPEI values for the period 1961-2014 were obtained with a spatial resolution of 1.1 km from the Drought indices dataset for Spain database (</w:t>
      </w:r>
      <w:hyperlink r:id="rId33">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 We selected a temporal scale for the SPEI of 6 months.</w:t>
      </w:r>
    </w:p>
    <w:p>
      <w:pPr>
        <w:pStyle w:val="Textodecuerpo"/>
      </w:pPr>
      <w:r>
        <w:t xml:space="preserve">The relationships between residual site chronologies and the climatic variables were assessed by a bootstrapped Pearson’s correlation estimate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the significance (p &lt; 0.05) of the correlation coefficients.</w:t>
      </w:r>
    </w:p>
    <w:p>
      <w:pPr>
        <w:pStyle w:val="Ttulo3"/>
      </w:pPr>
      <w:bookmarkStart w:id="34" w:name="disturbance-analyses"/>
      <w:bookmarkEnd w:id="34"/>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We used medians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(DUDA) of GC and more than 50% of the individual trees displaying the same growth changes was considered a stand-wise disturbance.</w:t>
      </w:r>
    </w:p>
    <w:p>
      <w:pPr>
        <w:pStyle w:val="Ttulo2"/>
      </w:pPr>
      <w:bookmarkStart w:id="35" w:name="resilience"/>
      <w:bookmarkEnd w:id="35"/>
      <w:r>
        <w:t xml:space="preserve">Resilience</w:t>
      </w:r>
    </w:p>
    <w:p>
      <w:pPr>
        <w:pStyle w:val="FirstParagraph"/>
      </w:pPr>
      <w:r>
        <w:t xml:space="preserve">To evaluate the effects of drougth events on greeennes and tree growth (BAI) we used three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We computed the values of these indices for tree growth (BAI) and greenness during each drought event. We considered 2005 and 2012 as singles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(Figure S3) and this length was used in other studies</w:t>
      </w:r>
      <w:r>
        <w:t xml:space="preserve"> </w:t>
      </w:r>
      <w:r>
        <w:t xml:space="preserve">(Gazol et al. 2017)</w:t>
      </w:r>
      <w:r>
        <w:t xml:space="preserve">.</w:t>
      </w:r>
    </w:p>
    <w:p>
      <w:pPr>
        <w:pStyle w:val="Ttulo2"/>
      </w:pPr>
      <w:bookmarkStart w:id="36" w:name="statistical-analysis"/>
      <w:bookmarkEnd w:id="36"/>
      <w:r>
        <w:t xml:space="preserve">Statistical analysis</w:t>
      </w:r>
    </w:p>
    <w:p>
      <w:pPr>
        <w:pStyle w:val="FirstParagraph"/>
      </w:pPr>
      <w:r>
        <w:t xml:space="preserve">We used robust two-way ANOVAs to test for differences between drought events (2005 and 2012) and oak population (northern and southern slopes) for each of the three resilience indices studied. These test were used beacuse original and log-transformed data both did not match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7" w:name="results"/>
      <w:bookmarkEnd w:id="37"/>
      <w:r>
        <w:t xml:space="preserve">Results</w:t>
      </w:r>
    </w:p>
    <w:p>
      <w:pPr>
        <w:pStyle w:val="Ttulo2"/>
      </w:pPr>
      <w:bookmarkStart w:id="38" w:name="vegetation-greenness"/>
      <w:bookmarkEnd w:id="38"/>
      <w:r>
        <w:t xml:space="preserve">Vegetation Greenness</w:t>
      </w:r>
    </w:p>
    <w:p>
      <w:pPr>
        <w:pStyle w:val="FirstParagraph"/>
      </w:pPr>
      <w:r>
        <w:t xml:space="preserve">Trends analysis showed that 78.9 % of the pixels of</w:t>
      </w:r>
      <w:r>
        <w:t xml:space="preserve"> </w:t>
      </w:r>
      <w:r>
        <w:rPr>
          <w:i/>
        </w:rPr>
        <w:t xml:space="preserve">Quercus pyrenaica</w:t>
      </w:r>
      <w:r>
        <w:t xml:space="preserve"> </w:t>
      </w:r>
      <w:r>
        <w:t xml:space="preserve">forests experienced an EVI positive trend for the 2000-2016 period, of which 31.67 % were significant trends. The strongest trends were observed in southwestern populations (Figure S2). Vegetation greenness of</w:t>
      </w:r>
      <w:r>
        <w:t xml:space="preserve"> </w:t>
      </w:r>
      <w:r>
        <w:rPr>
          <w:i/>
        </w:rPr>
        <w:t xml:space="preserve">Q. pyrenaica</w:t>
      </w:r>
      <w:r>
        <w:t xml:space="preserve"> </w:t>
      </w:r>
      <w:r>
        <w:t xml:space="preserve">forests were lower during both the 2005 and 2012 years than the greenness observed for the reference period (Figure 2a). The lowest values for EVI standardized anomalies were recorded in 2005 being singnificantly lower (-2.285 ± 0.029) than 2012 (-0.418 ± 0.029) (LSMEANS, t.ratio = -45.358; p_value &lt; 0.0001), particularly for northern populations (Figure 2b). Reduction in annual EVI mean was considerably higher in northern populations than in southern ones during the 2005 drought (Figure 2b).</w:t>
      </w:r>
    </w:p>
    <w:p>
      <w:pPr>
        <w:pStyle w:val="Textodecuerpo"/>
      </w:pPr>
      <w:r>
        <w:t xml:space="preserve">According to the standardized anomalies,</w:t>
      </w:r>
      <w:r>
        <w:t xml:space="preserve"> </w:t>
      </w:r>
      <w:r>
        <w:rPr>
          <w:i/>
        </w:rPr>
        <w:t xml:space="preserve">Q. pyrenaica</w:t>
      </w:r>
      <w:r>
        <w:t xml:space="preserve"> </w:t>
      </w:r>
      <w:r>
        <w:t xml:space="preserve">forests suffered a browning during 2005 drought event (99.36 % and 79.37 % of the pixels for northern and southern populations respectively), however no changes were observed for the 2012 drought (Figure S3).</w:t>
      </w:r>
    </w:p>
    <w:p>
      <w:pPr>
        <w:pStyle w:val="Ttulo2"/>
      </w:pPr>
      <w:bookmarkStart w:id="39" w:name="responses-to-drougth-greenness"/>
      <w:bookmarkEnd w:id="39"/>
      <w:r>
        <w:t xml:space="preserve">Responses to drougth: greenness</w:t>
      </w:r>
    </w:p>
    <w:p>
      <w:pPr>
        <w:pStyle w:val="FirstParagraph"/>
      </w:pPr>
      <w:r>
        <w:rPr>
          <w:i/>
        </w:rPr>
        <w:t xml:space="preserve">Q. pyrenaica</w:t>
      </w:r>
      <w:r>
        <w:t xml:space="preserve"> </w:t>
      </w:r>
      <w:r>
        <w:t xml:space="preserve">forest showed significantly lower resistance to 2005 drought event than to 2012 one (Table 3; Figure 3a). The 2005 drought reduced the greenness of oak to 85.8 % while the 2012 reduced 94.3 % (Table S1). Southern populations showed significantly higher values of resistance to drought than northern ones (Table 3), except for 2012 where non-significant differences were recorded (Table S1. Figures 3a, 4a).</w:t>
      </w:r>
    </w:p>
    <w:p>
      <w:pPr>
        <w:pStyle w:val="Textodecuerpo"/>
      </w:pPr>
      <w:r>
        <w:t xml:space="preserve">The oak forests recovered their greenness significantly more rapidly after the 2005 drought than after 2012 (Tables 3, S1). In the period after 2005 drought, greeness achieved was 112 % (Rc = 1.12) and after 2012 was 105.7 % (Rc = 1.057) (Table S1). A similar recovery after the 2005 and 2012 drought event was observed for southern populations (p = 0.2453; Figure 4a), whilst the northern populations showed a significantly greater recovery after the 2005 drought than after the 2012 drought (Figure 4a).</w:t>
      </w:r>
    </w:p>
    <w:p>
      <w:pPr>
        <w:pStyle w:val="Textodecuerpo"/>
      </w:pPr>
      <w:r>
        <w:t xml:space="preserve">Resilience values were significantly higher for the 2012 drought event than for 2005 (Tables 3, S1), although both values were close to 1 indicating that greenness level was rather similar after each disturbance event (Table S1). The southern populations showed higher resilience values than the northern ones, although they were not significantly different for 2005 drought (p = 0.036; Figures 3a, 4a).</w:t>
      </w:r>
    </w:p>
    <w:p>
      <w:pPr>
        <w:pStyle w:val="Ttulo2"/>
      </w:pPr>
      <w:bookmarkStart w:id="40" w:name="growth-trends"/>
      <w:bookmarkEnd w:id="40"/>
      <w:r>
        <w:t xml:space="preserve">Growth trends</w:t>
      </w:r>
    </w:p>
    <w:p>
      <w:pPr>
        <w:pStyle w:val="FirstParagraph"/>
      </w:pPr>
      <w:r>
        <w:t xml:space="preserve">The trees of the southern population were older and larger than northern ones, particularly for the high elevation site (Ca-High) which had bigger and taller trees than the other sites (Tables 1, 2). Competence indices were similar among sites (Table 1). The basal area increment (BAI) were different between sites (Figure 5). El sitio mas elevado (Ca-High) mostró mayores valores de BAI que los otros sitios, mostrando además una tendencia positiva a partir de 1970. Se observan diferencias en cuanto al crecimiento entre los sitios de las poblaciones del sur. Ca_Low se parece en crecimiento mas a SJ que a Ca_High.</w:t>
      </w:r>
    </w:p>
    <w:p>
      <w:pPr>
        <w:pStyle w:val="Textodecuerpo"/>
      </w:pP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Textodecuerpo"/>
      </w:pPr>
      <w:r>
        <w:t xml:space="preserve">Los tres sitios mostraron valores de ring width indices bajos para el año 1995 (Figure 6). El sitio SJ mostró valores muy bajos de ring width indices en 1995, 2005, y 2012. Sin embargo esto no ocurrió igual en los sitios del sur (caL y CaH) donde si encontramos valores bajos de RWI para 1995, pero no para 2005 y 2012.</w:t>
      </w:r>
    </w:p>
    <w:p>
      <w:pPr>
        <w:pStyle w:val="Textodecuerpo"/>
      </w:pPr>
      <w:r>
        <w:t xml:space="preserve">Sorprende que en los sitios del sur (caH y caL), en los últimos años ha habido crecimientos muy grandes. Por ejemplo, en 2010 se observó uno de los mayores valores de RWI de toda la cronología tanto en caH como en caL. Algo similar ocurrió en sj para los años 2003 y 2013.</w:t>
      </w:r>
    </w:p>
    <w:p>
      <w:pPr>
        <w:pStyle w:val="Ttulo2"/>
      </w:pPr>
      <w:bookmarkStart w:id="41" w:name="climate-and-tree"/>
      <w:bookmarkEnd w:id="41"/>
      <w:r>
        <w:t xml:space="preserve">Climate and tree</w:t>
      </w:r>
    </w:p>
    <w:p>
      <w:pPr>
        <w:pStyle w:val="FirstParagraph"/>
      </w:pPr>
      <w:r>
        <w:t xml:space="preserve">Tree-growth exhibited a significant greater response to water availability more than to temperatures, as it can be expected for a Mediterranean site and a species located closer to its xeric/dry distribution limit (rear-edge). Cumulative precipitation of the hydrological year was the climatic variable with a higher relationship with growth and influenced positively the tree-growth for the both northern and southern populations (Figure 7a). Precipitation of previous december was also positively correlated with tree growth in the northern population and in the highest location of the southern population. Hydrological, Spring and Summer SPEI showed a strong positive correlation with tree-growth (r &gt; 0.6) (Figure 7b), specially for northern population, which can be interpreted as higher sensitivity to drought of a drier site</w:t>
      </w:r>
      <w:r>
        <w:t xml:space="preserve"> </w:t>
      </w:r>
      <w:r>
        <w:t xml:space="preserve">(Gea-Izquierdo and Cañellas 2014)</w:t>
      </w:r>
      <w:r>
        <w:t xml:space="preserve">. Temperatures were much less related to growth than moisture variables. Yet spring maximum temperature was the most significant limitation for the tree-growth of the southern population at both elevations while maximum temperatures of the previous August were the only negative significant for the northern one (Figures 7c and 7d). Surprisingly minimum and maximum temperatures of current September positively influenced the tree-growth in the northern population.</w:t>
      </w:r>
    </w:p>
    <w:p>
      <w:pPr>
        <w:pStyle w:val="Ttulo2"/>
      </w:pPr>
      <w:bookmarkStart w:id="42" w:name="disturbances"/>
      <w:bookmarkEnd w:id="42"/>
      <w:r>
        <w:t xml:space="preserve">Disturbances</w:t>
      </w:r>
    </w:p>
    <w:p>
      <w:pPr>
        <w:pStyle w:val="FirstParagraph"/>
      </w:pPr>
      <w:r>
        <w:t xml:space="preserve">The analysis of growth changes revealed differences between sites (Figures 8 and 9). En el sitio del norte osbervamos dos eventos de liberación importantes (GC &gt; 50 %), que ocurren en mas de la mitad de los árboles muestreados (Figures 8 and 9). El primero de ellos desde 1940 hasta 1950, mientras que el segundo entre 1994 y 2001. Estos periodos se relacionan bien con eventos antrópicos: mineria (el primero de ellos) y actividades forestales el segundo (esta frase de la minería y demás la dejamos para la discusión??). Estos periodos se alternan con periodos de supresión. En los sitios del sur (caH y caL), sin embargo se observan algunos episodios débiles de supresión, aunque estos no se observan para los últimos años, de hecho incluso se observa una débil liberación (Figure 8) afectando a mas de la mitad de los árboles muestreados (Figure 9).</w:t>
      </w:r>
    </w:p>
    <w:p>
      <w:pPr>
        <w:pStyle w:val="Ttulo2"/>
      </w:pPr>
      <w:bookmarkStart w:id="43" w:name="responses-to-drougth-tree-growth"/>
      <w:bookmarkEnd w:id="43"/>
      <w:r>
        <w:t xml:space="preserve">Responses to drougth: tree-growth</w:t>
      </w:r>
    </w:p>
    <w:p>
      <w:pPr>
        <w:pStyle w:val="FirstParagraph"/>
      </w:pPr>
      <w:r>
        <w:t xml:space="preserve">Although no significant differences were observed in the resistance of oak growth between the two drought events (Table 3), the 2005 drought reduced growth more than that of 2012 (Rt = 0.721 and 0.819 respectively) (Table S2). The northern site, which is under a drier cliamte, showed resistance values lower than those of the southern site, especially for the 2005 drought event where the growth was reduced to 44.5 % respect to that of the preceding period (Figures 3b, 4b).</w:t>
      </w:r>
    </w:p>
    <w:p>
      <w:pPr>
        <w:pStyle w:val="Textodecuerpo"/>
      </w:pPr>
      <w:r>
        <w:t xml:space="preserve">Oak forests recovered their growth more rapidly after 2012 than after 2005 staying at levels of Rc &lt; 1 (Table S2). Northern populations showed signigicantly higher values of recovery than southern ones (Tables 3 and S2), which even not reach recovery values of Rc = 1 (Figure 3b, 4b).</w:t>
      </w:r>
    </w:p>
    <w:p>
      <w:pPr>
        <w:pStyle w:val="Textodecuerpo"/>
      </w:pPr>
      <w:r>
        <w:t xml:space="preserve">Significantly higher values of resilience of growth were observerd for the 2012 drought event than for the 2005 one (Table S2; Figure 4b). We found no differences of resilience values for growth between northern and southern populations (Table 3). For 2005 drought event the resilience of northern population was lower than that of southern ones, but opposite pattern was found for the 2012 drought event, with northern population showing values greater than unity (Figure 3b).</w:t>
      </w:r>
    </w:p>
    <w:p>
      <w:pPr>
        <w:pStyle w:val="Ttulo1"/>
      </w:pPr>
      <w:bookmarkStart w:id="44" w:name="discussions-notes"/>
      <w:bookmarkEnd w:id="44"/>
      <w:r>
        <w:t xml:space="preserve">Discussions notes</w:t>
      </w:r>
    </w:p>
    <w:p>
      <w:pPr>
        <w:pStyle w:val="Ttulo2"/>
      </w:pPr>
      <w:bookmarkStart w:id="45" w:name="greenness"/>
      <w:bookmarkEnd w:id="45"/>
      <w:r>
        <w:t xml:space="preserve">Greenness</w:t>
      </w:r>
    </w:p>
    <w:p>
      <w:pPr>
        <w:pStyle w:val="Compact"/>
        <w:numPr>
          <w:numId w:val="1002"/>
          <w:ilvl w:val="0"/>
        </w:numPr>
      </w:pPr>
      <w:r>
        <w:t xml:space="preserve">Aproximadamete el x% de los robledales mostraron un incremento en los valores de productividad (greenees) … (relacionar con tendencias EVI y ontologias).</w:t>
      </w:r>
    </w:p>
    <w:p>
      <w:pPr>
        <w:numPr>
          <w:numId w:val="1002"/>
          <w:ilvl w:val="0"/>
        </w:numPr>
      </w:pPr>
      <w:r>
        <w:t xml:space="preserve">tendencias ontologias</w:t>
      </w:r>
    </w:p>
    <w:p>
      <w:pPr>
        <w:numPr>
          <w:numId w:val="1002"/>
          <w:ilvl w:val="0"/>
        </w:numPr>
      </w:pPr>
      <w:r>
        <w:t xml:space="preserve">Si analizamos el plot de trajectorias (evi medio anual), vemos como en 2005 y 2012 se observó un browning para los valores medios de EVI. En ambos casos, se observó un patrón homogéneo de browing, aunque en 2012 el browning fue mucho menor.</w:t>
      </w:r>
    </w:p>
    <w:p>
      <w:pPr>
        <w:pStyle w:val="Ttulo2"/>
      </w:pPr>
      <w:bookmarkStart w:id="46" w:name="dos-cronos-en-canar"/>
      <w:bookmarkEnd w:id="46"/>
      <w:r>
        <w:t xml:space="preserve">Dos cronos en Cañar</w:t>
      </w:r>
    </w:p>
    <w:p>
      <w:pPr>
        <w:pStyle w:val="Compact"/>
        <w:numPr>
          <w:numId w:val="1003"/>
          <w:ilvl w:val="0"/>
        </w:numPr>
      </w:pPr>
      <w:r>
        <w:t xml:space="preserve">Gea-Izquierdo and Cañellas (2014)</w:t>
      </w:r>
      <w:r>
        <w:t xml:space="preserve"> </w:t>
      </w:r>
      <w:r>
        <w:t xml:space="preserve">muestrea solo en CA-Low (QUPY10) y obtiene resultados similares a CA-Low.</w:t>
      </w:r>
    </w:p>
    <w:p>
      <w:pPr>
        <w:pStyle w:val="Compact"/>
        <w:numPr>
          <w:numId w:val="1003"/>
          <w:ilvl w:val="0"/>
        </w:numPr>
      </w:pPr>
      <w:r>
        <w:t xml:space="preserve">En tan poco espacio hay diferencias enormes entre las dos cronos</w:t>
      </w:r>
    </w:p>
    <w:p>
      <w:pPr>
        <w:pStyle w:val="Compact"/>
        <w:numPr>
          <w:numId w:val="1003"/>
          <w:ilvl w:val="0"/>
        </w:numPr>
      </w:pPr>
      <w:r>
        <w:rPr>
          <w:i/>
        </w:rPr>
        <w:t xml:space="preserve">Las tendencias de BAI de Cáñar baja altitud son diferentes a las del norte, las cuales se parecen mucho a las que suelen encontrarse en la mayoría de sitios. Puedes mirar por ejemplo las tendencias de las líneas negras (de más de 100 años, sobre todo) en la Fig 2 del artículo de Ecosystems… fíjate que QUPY3 se parece más a QUPY10… y QUPY3 era la única dehesa (en parte) y uno de los sitios más secos (por otro lado, aunque frío). En fin, todo esto es algo especulativo, pero sirva como exploración de tus cronos, y para mostrar que me parece muy interesante la diferencia entre Cáñar alto y bajo (y nuevo).</w:t>
      </w:r>
    </w:p>
    <w:p>
      <w:pPr>
        <w:pStyle w:val="Ttulo2"/>
      </w:pPr>
      <w:bookmarkStart w:id="47" w:name="reduccion-crecimiento-y-sequias"/>
      <w:bookmarkEnd w:id="47"/>
      <w:r>
        <w:t xml:space="preserve">Reducción crecimiento y sequías</w:t>
      </w:r>
    </w:p>
    <w:p>
      <w:pPr>
        <w:pStyle w:val="FirstParagraph"/>
      </w:pPr>
      <w:r>
        <w:t xml:space="preserve">Se observó una gran reducción de crecimiento en 1994-1995, 1999 y 2005 para Pinus nigra en el SE de Andalusia</w:t>
      </w:r>
      <w:r>
        <w:t xml:space="preserve"> </w:t>
      </w:r>
      <w:r>
        <w:t xml:space="preserve">(Sánchez-Salguero et al. 2013)</w:t>
      </w:r>
      <w:r>
        <w:t xml:space="preserve"> </w:t>
      </w:r>
      <w:r>
        <w:t xml:space="preserve">coincidiendo con años de sequía para esa zona. La máxima reducción en crecimiento fue observada para 2005, siendo significativamente mayor que para el resto de años</w:t>
      </w:r>
      <w:r>
        <w:t xml:space="preserve"> </w:t>
      </w:r>
      <w:r>
        <w:t xml:space="preserve">(Sánchez-Salguero et al. 2013)</w:t>
      </w:r>
      <w:r>
        <w:t xml:space="preserve">.</w:t>
      </w:r>
    </w:p>
    <w:p>
      <w:pPr>
        <w:pStyle w:val="Ttulo2"/>
      </w:pPr>
      <w:bookmarkStart w:id="48" w:name="dendro"/>
      <w:bookmarkEnd w:id="48"/>
      <w:r>
        <w:t xml:space="preserve">Dendro</w:t>
      </w:r>
    </w:p>
    <w:p>
      <w:pPr>
        <w:pStyle w:val="Ttulo3"/>
      </w:pPr>
      <w:bookmarkStart w:id="49" w:name="diferencias-crecimiento-entre-sitios."/>
      <w:bookmarkEnd w:id="49"/>
      <w:r>
        <w:t xml:space="preserve">Diferencias crecimiento entre sitios.</w:t>
      </w:r>
    </w:p>
    <w:p>
      <w:pPr>
        <w:pStyle w:val="FirstParagraph"/>
      </w:pPr>
      <w:r>
        <w:t xml:space="preserve">Mayor crecimiento en los robles situados en CaHigh. Sorprende que en el rear edge de la distribución de la especie, en la cara sur dentro de este rear edge, y en la parte mas alta (estas parcelas están en el treeline de la especie en SN) es donde encontramos mayores crecimientos. Parece que los robles estuvieran mejor en esta zona. Algunas reflexiones</w:t>
      </w:r>
    </w:p>
    <w:p>
      <w:pPr>
        <w:pStyle w:val="Compact"/>
        <w:numPr>
          <w:numId w:val="1004"/>
          <w:ilvl w:val="0"/>
        </w:numPr>
      </w:pPr>
      <w:r>
        <w:t xml:space="preserve">Quizá están creciendo donde les están dejando (menor impacto antrópico)</w:t>
      </w:r>
    </w:p>
    <w:p>
      <w:pPr>
        <w:pStyle w:val="Compact"/>
        <w:numPr>
          <w:numId w:val="1004"/>
          <w:ilvl w:val="0"/>
        </w:numPr>
      </w:pPr>
      <w:r>
        <w:t xml:space="preserve">¿Menor estrés hídrico en zonas mas altas?</w:t>
      </w:r>
    </w:p>
    <w:p>
      <w:pPr>
        <w:numPr>
          <w:numId w:val="1004"/>
          <w:ilvl w:val="0"/>
        </w:numPr>
      </w:pPr>
      <w:r>
        <w:t xml:space="preserve">¿Diferencias entre suelos? (ver artículo</w:t>
      </w:r>
      <w:r>
        <w:t xml:space="preserve"> </w:t>
      </w:r>
      <w:r>
        <w:t xml:space="preserve">(“Taxonomic and functional diversity of a quercus pyrenaica willd. rhizospheric microbiome in the mediterranean mountains” 2017)</w:t>
      </w:r>
      <w:r>
        <w:t xml:space="preserve"> </w:t>
      </w:r>
      <w:r>
        <w:t xml:space="preserve">que compara suelos de Cáñar). En este estudio sobre microbiota del suelo, analizó tres sitios: por encima del treline (XZF), low altitudinal oak forest (LAF) and high altitudinal oak forest (HAF). LAF está mucho mas bajo, pero HAF está cerca de las parcelas caHigh y encontró lo siguiente:</w:t>
      </w:r>
    </w:p>
    <w:p>
      <w:pPr>
        <w:pStyle w:val="Compact"/>
        <w:numPr>
          <w:numId w:val="1004"/>
          <w:ilvl w:val="0"/>
        </w:numPr>
      </w:pPr>
      <w:r>
        <w:t xml:space="preserve">tipo de suelo: LAF es Sandy-loam, HAF es loam</w:t>
      </w:r>
    </w:p>
    <w:p>
      <w:pPr>
        <w:pStyle w:val="Compact"/>
        <w:numPr>
          <w:numId w:val="1004"/>
          <w:ilvl w:val="0"/>
        </w:numPr>
      </w:pPr>
      <w:r>
        <w:t xml:space="preserve">HAF tuvo los valores mayores de disponibilidad hídrica (% available water tabla s1 en</w:t>
      </w:r>
      <w:r>
        <w:t xml:space="preserve"> </w:t>
      </w:r>
      <w:r>
        <w:t xml:space="preserve">(“Taxonomic and functional diversity of a quercus pyrenaica willd. rhizospheric microbiome in the mediterranean mountains” 2017)</w:t>
      </w:r>
      <w:r>
        <w:t xml:space="preserve">)</w:t>
      </w:r>
    </w:p>
    <w:p>
      <w:pPr>
        <w:pStyle w:val="Compact"/>
        <w:numPr>
          <w:numId w:val="1004"/>
          <w:ilvl w:val="0"/>
        </w:numPr>
      </w:pPr>
      <w:r>
        <w:t xml:space="preserve">Los tres sitios eran pobres en materia orgánica, pero el HAF dobló los valores de los otros dos sitios</w:t>
      </w:r>
    </w:p>
    <w:p>
      <w:pPr>
        <w:numPr>
          <w:numId w:val="1004"/>
          <w:ilvl w:val="0"/>
        </w:numPr>
      </w:pPr>
      <w:r>
        <w:t xml:space="preserve">No diferencias en contenido de N, C/N ratio similares en HAF, y LAF</w:t>
      </w:r>
    </w:p>
    <w:p>
      <w:pPr>
        <w:pStyle w:val="FirstParagraph"/>
      </w:pPr>
      <w:r>
        <w:t xml:space="preserve">Sorprende que en Cáñar haya diferencias tan grandes de crecimiento estándo tan cerca. ¿Puede estar relacionado con intensidad de uso antrópico? De hecho la Ca-Low tiene crecimientos similares a SJ.</w:t>
      </w:r>
    </w:p>
    <w:p>
      <w:pPr>
        <w:pStyle w:val="Ttulo2"/>
      </w:pPr>
      <w:bookmarkStart w:id="50" w:name="relaciones-crecimiento-clima-en-otras-especies"/>
      <w:bookmarkEnd w:id="50"/>
      <w:r>
        <w:t xml:space="preserve">Relaciones crecimiento-clima en otras especies</w:t>
      </w:r>
    </w:p>
    <w:p>
      <w:pPr>
        <w:pStyle w:val="FirstParagraph"/>
      </w:pPr>
      <w:r>
        <w:t xml:space="preserve">and higher values of tree-growth (Table 2).</w:t>
      </w:r>
    </w:p>
    <w:p>
      <w:pPr>
        <w:pStyle w:val="Textodecuerpo"/>
      </w:pPr>
      <w:r>
        <w:t xml:space="preserve">El sitio caH mostró además los mayores valores de AR(1) y de MS</w:t>
      </w:r>
    </w:p>
    <w:p>
      <w:pPr>
        <w:pStyle w:val="Textodecuerpo"/>
      </w:pPr>
      <w:r>
        <w:t xml:space="preserve">El sitio del norte, mostró mayores valores de MS (Table 2). ¿esto sugiere que este sitio tiene una alta limitación climática?</w:t>
      </w:r>
    </w:p>
    <w:p>
      <w:pPr>
        <w:pStyle w:val="Textodecuerpo"/>
      </w:pPr>
      <w:r>
        <w:t xml:space="preserve">Different growth trends were observed for each site (Figure 5). Ca-High (the highest elevation site) had higher values of tree growth than the other sites.</w:t>
      </w:r>
    </w:p>
    <w:p>
      <w:pPr>
        <w:pStyle w:val="Textodecuerpo"/>
      </w:pPr>
      <w:r>
        <w:t xml:space="preserve">notas para discusión</w:t>
      </w:r>
    </w:p>
    <w:p>
      <w:pPr>
        <w:pStyle w:val="Textodecuerpo"/>
      </w:pPr>
      <w:r>
        <w:t xml:space="preserve">En ambos casos (evi y bai) la sequía de 2005 y de 2012 redujeron el greenness y el crecimiento. Además en ambos casos la sequía de 2005 redujo mas la variable, sin embargo, para el greenness si existen diferencias entre ambos eventos de sequía, mientras que para el crecimiento no. Por tanto podemos decir que se ha reducido el greennes pero para el crecimiento esto está mas amortiguado.</w:t>
      </w:r>
    </w:p>
    <w:p>
      <w:pPr>
        <w:pStyle w:val="Textodecuerpo"/>
      </w:pPr>
      <w:r>
        <w:t xml:space="preserve">Al explorar la resistencia por sitio y drought se observa una curiosidad. La resistencia de los robledales de CaLow se mantiene casi igual. La de la cara norte (SJ) sufre mucho en 2005 y luego se recupera un poco. La de caH presenta menor resistencia en 2012 que en 2005 (y eso llama la atención)</w:t>
      </w:r>
    </w:p>
    <w:p>
      <w:pPr>
        <w:pStyle w:val="Ttulo2"/>
      </w:pPr>
      <w:bookmarkStart w:id="51" w:name="references"/>
      <w:bookmarkEnd w:id="51"/>
      <w:r>
        <w:t xml:space="preserve">References</w:t>
      </w:r>
    </w:p>
    <w:p>
      <w:pPr>
        <w:pStyle w:val="Ttulo1"/>
      </w:pPr>
      <w:bookmarkStart w:id="52" w:name="supplementary"/>
      <w:bookmarkEnd w:id="52"/>
      <w:r>
        <w:t xml:space="preserve">Supplementary</w:t>
      </w:r>
    </w:p>
    <w:p>
      <w:pPr>
        <w:pStyle w:val="Ttulo2"/>
      </w:pPr>
      <w:bookmarkStart w:id="53" w:name="figures"/>
      <w:bookmarkEnd w:id="53"/>
      <w:r>
        <w:t xml:space="preserve">Figures</w:t>
      </w:r>
    </w:p>
    <w:p>
      <w:pPr>
        <w:pStyle w:val="FirstParagraph"/>
      </w:pPr>
      <w:r>
        <w:rPr>
          <w:b/>
        </w:rPr>
        <w:t xml:space="preserve">Figure S1</w:t>
      </w:r>
      <w:r>
        <w:t xml:space="preserve"> </w:t>
      </w:r>
      <w:r>
        <w:t xml:space="preserve">Acumulated monthly precipitation during the hydrological year 2004-2005 (blue line) and 2011-2012 (red line). The boxplot representing the average from 1940-2015 period. Data from meteorological station Granada, Base Aérea (National Spanish Meteorological Services (AEMET)).</w:t>
      </w:r>
    </w:p>
    <w:p>
      <w:pPr>
        <w:pStyle w:val="Textodecuerpo"/>
      </w:pPr>
      <w:r>
        <w:drawing>
          <wp:inline>
            <wp:extent cx="5943600" cy="5943600"/>
            <wp:effectExtent b="0" l="0" r="0" t="0"/>
            <wp:docPr descr="" id="1" name="Picture"/>
            <a:graphic>
              <a:graphicData uri="http://schemas.openxmlformats.org/drawingml/2006/picture">
                <pic:pic>
                  <pic:nvPicPr>
                    <pic:cNvPr descr="report_files/figure-docx/unnamed-chunk-34-1.png" id="0" name="Picture"/>
                    <pic:cNvPicPr>
                      <a:picLocks noChangeArrowheads="1" noChangeAspect="1"/>
                    </pic:cNvPicPr>
                  </pic:nvPicPr>
                  <pic:blipFill>
                    <a:blip r:embed="rId54"/>
                    <a:stretch>
                      <a:fillRect/>
                    </a:stretch>
                  </pic:blipFill>
                  <pic:spPr bwMode="auto">
                    <a:xfrm>
                      <a:off x="0" y="0"/>
                      <a:ext cx="5943600" cy="5943600"/>
                    </a:xfrm>
                    <a:prstGeom prst="rect">
                      <a:avLst/>
                    </a:prstGeom>
                    <a:noFill/>
                    <a:ln w="9525">
                      <a:noFill/>
                      <a:headEnd/>
                      <a:tailEnd/>
                    </a:ln>
                  </pic:spPr>
                </pic:pic>
              </a:graphicData>
            </a:graphic>
          </wp:inline>
        </w:drawing>
      </w:r>
    </w:p>
    <w:p>
      <w:pPr>
        <w:pStyle w:val="Textodecuerpo"/>
      </w:pPr>
      <w:r>
        <w:rPr>
          <w:b/>
        </w:rPr>
        <w:t xml:space="preserve">Figure S2</w:t>
      </w:r>
      <w:r>
        <w:t xml:space="preserve">. Spatial distribution of the EVI-annual trends (</w:t>
      </w:r>
      <m:oMath>
        <m:r>
          <m:t>τ</m:t>
        </m:r>
      </m:oMath>
      <w:r>
        <w:t xml:space="preserve">) for the period 2000-2016. Negative values (</w:t>
      </w:r>
      <w:r>
        <w:rPr>
          <w:i/>
        </w:rPr>
        <w:t xml:space="preserve">red</w:t>
      </w:r>
      <w:r>
        <w:t xml:space="preserve"> </w:t>
      </w:r>
      <w:r>
        <w:t xml:space="preserve">values) indicate negative trends and positive values (</w:t>
      </w:r>
      <w:r>
        <w:rPr>
          <w:i/>
        </w:rPr>
        <w:t xml:space="preserve">green</w:t>
      </w:r>
      <w:r>
        <w:t xml:space="preserve"> </w:t>
      </w:r>
      <w:r>
        <w:t xml:space="preserve">values) indicate positive trends.</w:t>
      </w:r>
    </w:p>
    <w:p>
      <w:pPr>
        <w:pStyle w:val="Figure"/>
      </w:pPr>
      <w:r>
        <w:drawing>
          <wp:inline>
            <wp:extent cx="5943600" cy="4245428"/>
            <wp:effectExtent b="0" l="0" r="0" t="0"/>
            <wp:docPr descr="" id="1" name="Picture"/>
            <a:graphic>
              <a:graphicData uri="http://schemas.openxmlformats.org/drawingml/2006/picture">
                <pic:pic>
                  <pic:nvPicPr>
                    <pic:cNvPr descr="../analysis/evi/compute_MannKendall_evimean_files/figure-markdown_github/rater_map_tau_EVI-1.png" id="0" name="Picture"/>
                    <pic:cNvPicPr>
                      <a:picLocks noChangeArrowheads="1" noChangeAspect="1"/>
                    </pic:cNvPicPr>
                  </pic:nvPicPr>
                  <pic:blipFill>
                    <a:blip r:embed="rId55"/>
                    <a:stretch>
                      <a:fillRect/>
                    </a:stretch>
                  </pic:blipFill>
                  <pic:spPr bwMode="auto">
                    <a:xfrm>
                      <a:off x="0" y="0"/>
                      <a:ext cx="5943600" cy="4245428"/>
                    </a:xfrm>
                    <a:prstGeom prst="rect">
                      <a:avLst/>
                    </a:prstGeom>
                    <a:noFill/>
                    <a:ln w="9525">
                      <a:noFill/>
                      <a:headEnd/>
                      <a:tailEnd/>
                    </a:ln>
                  </pic:spPr>
                </pic:pic>
              </a:graphicData>
            </a:graphic>
          </wp:inline>
        </w:drawing>
      </w:r>
    </w:p>
    <w:p>
      <w:pPr>
        <w:pStyle w:val="FirstParagraph"/>
      </w:pPr>
      <w:r>
        <w:rPr>
          <w:b/>
        </w:rPr>
        <w:t xml:space="preserve">Figure S3.</w:t>
      </w:r>
      <w:r>
        <w:t xml:space="preserve"> </w:t>
      </w:r>
      <w:r>
        <w:t xml:space="preserve">Percentage of pixels showing browning, greenning or no-changes during the 2005 and 2012 droguht events according to EVI standardized anomalies.</w:t>
      </w:r>
    </w:p>
    <w:p>
      <w:pPr>
        <w:pStyle w:val="Textodecuerpo"/>
      </w:pPr>
      <w:r>
        <w:drawing>
          <wp:inline>
            <wp:extent cx="5943600" cy="5943600"/>
            <wp:effectExtent b="0" l="0" r="0" t="0"/>
            <wp:docPr descr="" id="1" name="Picture"/>
            <a:graphic>
              <a:graphicData uri="http://schemas.openxmlformats.org/drawingml/2006/picture">
                <pic:pic>
                  <pic:nvPicPr>
                    <pic:cNvPr descr="report_files/figure-docx/unnamed-chunk-36-1.png" id="0" name="Picture"/>
                    <pic:cNvPicPr>
                      <a:picLocks noChangeArrowheads="1" noChangeAspect="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p>
      <w:pPr>
        <w:pStyle w:val="Textodecuerpo"/>
      </w:pPr>
      <w:r>
        <w:rPr>
          <w:b/>
        </w:rPr>
        <w:t xml:space="preserve">Figure S3.</w:t>
      </w:r>
      <w:r>
        <w:t xml:space="preserve"> </w:t>
      </w:r>
      <w:r>
        <w:t xml:space="preserve">Correlation</w:t>
      </w:r>
    </w:p>
    <w:p>
      <w:pPr>
        <w:pStyle w:val="Textodecuerpo"/>
      </w:pPr>
      <w:r>
        <w:drawing>
          <wp:inline>
            <wp:extent cx="5943600" cy="5943600"/>
            <wp:effectExtent b="0" l="0" r="0" t="0"/>
            <wp:docPr descr="" id="1" name="Picture"/>
            <a:graphic>
              <a:graphicData uri="http://schemas.openxmlformats.org/drawingml/2006/picture">
                <pic:pic>
                  <pic:nvPicPr>
                    <pic:cNvPr descr="report_files/figure-docx/unnamed-chunk-37-1.png" id="0"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Didan, K. 2015. MOD13Q1 MODIS/Terra Vegetation Indices 16-Day L3 Global 250m SIN Grid V006. NASA EOSDIS Land Processes DAAC.</w:t>
      </w:r>
    </w:p>
    <w:p>
      <w:pPr>
        <w:pStyle w:val="Bibliografa"/>
      </w:pPr>
      <w:r>
        <w:t xml:space="preserve">Dunn, O. 1964. Multiple comparisons using rank sums. Technometrics 6:241–252.</w:t>
      </w:r>
    </w:p>
    <w:p>
      <w:pPr>
        <w:pStyle w:val="Bibliografa"/>
      </w:pPr>
      <w:r>
        <w:t xml:space="preserve">Field, A., J. Miles, and Z. Field. 2012. Discovering statistics using r. Page 1426. SAGE.</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Pérez-Luque, A. J., R. Zamora, F. J. Bonet, and R. Pérez-Pérez. 2015. Dataset of migrame project (global change, altitudinal range shift and colonization of degraded habitats in mediterranean mountains). PhytoKeys 56:61–81.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Rubino, D., and B. McCarthy. 2004. Comparative analysis of dendroecological methods used to assess disturbance events. Dendrochronologia 21:97–115.</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Sokal, R., and F. Rohlf. 1995. Biometry: The principles and practice of statistics in biological research. Page 887. Freeman, New York.</w:t>
      </w:r>
    </w:p>
    <w:p>
      <w:pPr>
        <w:pStyle w:val="Bibliografa"/>
      </w:pPr>
      <w:r>
        <w:t xml:space="preserve">Taxonomic and functional diversity of a quercus pyrenaica willd. rhizospheric microbiome in the mediterranean mountains. 2017. Forests 8:390.</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Zang, C., and F. Biondi. 2015. Treeclim: An r package for the numerical calibration of proxy-climate relationships. Ecography 38:431–436.</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47cb7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6ee2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33" Target="http://monitordesequia.csic.es/" TargetMode="External" /><Relationship Type="http://schemas.openxmlformats.org/officeDocument/2006/relationships/hyperlink" Id="rId32"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3" Target="http://monitordesequia.csic.es/" TargetMode="External" /><Relationship Type="http://schemas.openxmlformats.org/officeDocument/2006/relationships/hyperlink" Id="rId32"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2018-01-29T17:01:58Z</dcterms:created>
  <dcterms:modified xsi:type="dcterms:W3CDTF">2018-01-29T17:01:58Z</dcterms:modified>
</cp:coreProperties>
</file>