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FirstParagraph"/>
      </w:pPr>
      <w:r>
        <w:t xml:space="preserve">Ideas a expresar</w:t>
      </w:r>
    </w:p>
    <w:p>
      <w:pPr>
        <w:pStyle w:val="Ttulo3"/>
      </w:pPr>
      <w:bookmarkStart w:id="22" w:name="remote-sensing"/>
      <w:bookmarkEnd w:id="22"/>
      <w:r>
        <w:t xml:space="preserve">Remote sensing</w:t>
      </w:r>
    </w:p>
    <w:p>
      <w:pPr>
        <w:pStyle w:val="Compact"/>
        <w:numPr>
          <w:numId w:val="1002"/>
          <w:ilvl w:val="0"/>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2"/>
          <w:ilvl w:val="0"/>
        </w:numPr>
      </w:pPr>
      <w:r>
        <w:t xml:space="preserve">Leer también a</w:t>
      </w:r>
      <w:r>
        <w:t xml:space="preserve"> </w:t>
      </w:r>
      <w:r>
        <w:t xml:space="preserve">AghaKouchak et al. (2015)</w:t>
      </w:r>
    </w:p>
    <w:p>
      <w:pPr>
        <w:pStyle w:val="Ttulo3"/>
      </w:pPr>
      <w:bookmarkStart w:id="23" w:name="sequias"/>
      <w:bookmarkEnd w:id="23"/>
      <w:r>
        <w:t xml:space="preserve">Sequías</w:t>
      </w:r>
    </w:p>
    <w:p>
      <w:pPr>
        <w:numPr>
          <w:numId w:val="1003"/>
          <w:ilvl w:val="0"/>
        </w:numPr>
      </w:pPr>
      <w:r>
        <w:t xml:space="preserve">:red_circle: Algo de las sequías de 2005 y 2014</w:t>
      </w:r>
    </w:p>
    <w:p>
      <w:pPr>
        <w:numPr>
          <w:numId w:val="1003"/>
          <w:ilvl w:val="0"/>
        </w:numPr>
      </w:pPr>
      <w:r>
        <w:t xml:space="preserve">Extreme sequías y ecología</w:t>
      </w:r>
    </w:p>
    <w:p>
      <w:pPr>
        <w:pStyle w:val="Ttulo3"/>
      </w:pPr>
      <w:bookmarkStart w:id="24" w:name="ideas-a-incluir"/>
      <w:bookmarkEnd w:id="24"/>
      <w:r>
        <w:t xml:space="preserve">Ideas a incluir</w:t>
      </w:r>
    </w:p>
    <w:p>
      <w:pPr>
        <w:pStyle w:val="Compact"/>
        <w:numPr>
          <w:numId w:val="1004"/>
          <w:ilvl w:val="0"/>
        </w:numPr>
      </w:pPr>
      <w:r>
        <w:t xml:space="preserve">Descripción de las sequía de 2005 y 2014</w:t>
      </w:r>
    </w:p>
    <w:p>
      <w:pPr>
        <w:pStyle w:val="FirstParagraph"/>
      </w:pPr>
      <w:r>
        <w:t xml:space="preserve">Major drought episodes in the IP were recorded in 1981, 1995, 2000 and 2005</w:t>
      </w:r>
      <w:r>
        <w:t xml:space="preserve"> </w:t>
      </w:r>
      <w:r>
        <w:t xml:space="preserve">(Vicente-Serrano et al. 2014)</w:t>
      </w:r>
    </w:p>
    <w:p>
      <w:pPr>
        <w:pStyle w:val="Textodecuerpo"/>
      </w:pPr>
      <w:r>
        <w:t xml:space="preserve">La sequía es una característica del clima mediterráneo</w:t>
      </w:r>
      <w:r>
        <w:t xml:space="preserve"> </w:t>
      </w:r>
      <w:r>
        <w:t xml:space="preserve">(Lionello 2012)</w:t>
      </w:r>
      <w:r>
        <w:t xml:space="preserve">, pero en los últimos años se ha venido observando un aumento de la frecuencia y la severidad de los periodos de sequía (:red_circle: CITA;</w:t>
      </w:r>
      <w:r>
        <w:t xml:space="preserve"> </w:t>
      </w:r>
      <w:r>
        <w:t xml:space="preserve">Vicente-Serrano et al. (2014)</w:t>
      </w:r>
      <w:r>
        <w:t xml:space="preserve"> </w:t>
      </w:r>
      <w:r>
        <w:t xml:space="preserve">para la P. Iberica).</w:t>
      </w:r>
    </w:p>
    <w:p>
      <w:pPr>
        <w:pStyle w:val="Textodecuerpo"/>
      </w:pPr>
      <w:r>
        <w:t xml:space="preserve">The 2004/2005 and 2011/2012 hydrological years are considered two of the worst drought periods recorded in the Iberian Peninsula, particularly in the southeren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Textodecuerpo"/>
      </w:pPr>
      <w:r>
        <w:t xml:space="preserve">an increase in the drought severity in the Iberian Peninsula has been observed in the last decades</w:t>
      </w:r>
      <w:r>
        <w:t xml:space="preserve"> </w:t>
      </w:r>
      <w:r>
        <w:t xml:space="preserve">(Vicente-Serrano et al. 2014)</w:t>
      </w:r>
      <w:r>
        <w:t xml:space="preserve">.</w:t>
      </w:r>
    </w:p>
    <w:p>
      <w:pPr>
        <w:pStyle w:val="Textodecuerpo"/>
      </w:pPr>
      <w:r>
        <w:t xml:space="preserve">frecuencia de las sequías severas (ver Dai 2011)</w:t>
      </w:r>
    </w:p>
    <w:p>
      <w:pPr>
        <w:pStyle w:val="Textodecuerpo"/>
      </w:pPr>
      <w:r>
        <w:t xml:space="preserve">Algunos eventos extremos han aumentado su frecuencia en los últimos años</w:t>
      </w:r>
    </w:p>
    <w:p>
      <w:pPr>
        <w:pStyle w:val="Textodecuerpo"/>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Compact"/>
        <w:numPr>
          <w:numId w:val="1005"/>
          <w:ilvl w:val="0"/>
        </w:numPr>
      </w:pPr>
      <w:r>
        <w:t xml:space="preserve">Extreme sequias y ecologia</w:t>
      </w:r>
    </w:p>
    <w:p>
      <w:pPr>
        <w:pStyle w:val="Compact"/>
        <w:numPr>
          <w:numId w:val="1005"/>
          <w:ilvl w:val="0"/>
        </w:numPr>
      </w:pPr>
      <w:r>
        <w:t xml:space="preserve">Como la dendro ayuda a evaluar las sequías (ver Gazol 2017)</w:t>
      </w:r>
    </w:p>
    <w:p>
      <w:pPr>
        <w:pStyle w:val="FirstParagraph"/>
      </w:pPr>
      <w:r>
        <w:t xml:space="preserve">Extreme climate events (as droughts, heatwaves) severely affect forests and grasslands throuhg changes in plant physiology, phenology and carbon allocation</w:t>
      </w:r>
      <w:r>
        <w:t xml:space="preserve"> </w:t>
      </w:r>
      <w:r>
        <w:t xml:space="preserve">(Ummenhofer and Meehl 2017)</w:t>
      </w:r>
      <w:r>
        <w:t xml:space="preserve">.</w:t>
      </w:r>
    </w:p>
    <w:p>
      <w:pPr>
        <w:pStyle w:val="Textodecuerpo"/>
      </w:pPr>
      <w:r>
        <w:t xml:space="preserve">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w:t>
      </w:r>
    </w:p>
    <w:p>
      <w:pPr>
        <w:pStyle w:val="Ttulo3"/>
      </w:pPr>
      <w:bookmarkStart w:id="25" w:name="section"/>
      <w:bookmarkEnd w:id="25"/>
    </w:p>
    <w:p>
      <w:pPr>
        <w:pStyle w:val="FirstParagraph"/>
      </w:pPr>
      <w:r>
        <w:t xml:space="preserve">Uso de NDVI como estimador de la NPP:</w:t>
      </w:r>
    </w:p>
    <w:p>
      <w:pPr>
        <w:numPr>
          <w:numId w:val="1006"/>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6"/>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7"/>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7"/>
          <w:ilvl w:val="0"/>
        </w:numPr>
      </w:pPr>
      <w:r>
        <w:t xml:space="preserve">to analyze the resilience of these forests to sucessive extrme drought events,</w:t>
      </w:r>
    </w:p>
    <w:p>
      <w:pPr>
        <w:numPr>
          <w:numId w:val="1007"/>
          <w:ilvl w:val="0"/>
        </w:numPr>
      </w:pPr>
      <w:r>
        <w:t xml:space="preserve">and to explore differences in the resilience metrics between populations located in contrasting slopes within the rear edge of the distribution of this species.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8"/>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 "Vulnerable" (Vivero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09"/>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product consits of 16-day maximun value composite images (23 per year) of the EVI value with a spatial resolution of 231 m x 231 m. Data were obtained using a Google Earth Engine script (:red_circle: cite gists) for the 2000 - 2016 period. We selected the pixels covering the distribution of Quercus pyrenaica forests in Sierra Nevada (</w:t>
      </w:r>
      <w:r>
        <w:rPr>
          <w:i/>
        </w:rPr>
        <w:t xml:space="preserve">n</w:t>
      </w:r>
      <w:r>
        <w:t xml:space="preserve"> </w:t>
      </w:r>
      <w:r>
        <w:t xml:space="preserve">= 928 pixels). The EVI data are geometrically and atmospherically corrected and include information about the quality ass....</w:t>
      </w:r>
      <w:r>
        <w:t xml:space="preserve"> </w:t>
      </w:r>
      <w:r>
        <w:t xml:space="preserve">:red_circle:</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0"/>
          <w:ilvl w:val="0"/>
        </w:numPr>
      </w:pPr>
      <w:r>
        <w:t xml:space="preserve">Información contenida en banda QA.</w:t>
      </w:r>
    </w:p>
    <w:p>
      <w:pPr>
        <w:pStyle w:val="Compact"/>
        <w:numPr>
          <w:numId w:val="1011"/>
          <w:ilvl w:val="1"/>
        </w:numPr>
      </w:pPr>
      <w:r>
        <w:t xml:space="preserve">Nos quedamos con pixeles marcados como Good Data (57.89 %)</w:t>
      </w:r>
    </w:p>
    <w:p>
      <w:pPr>
        <w:pStyle w:val="Compact"/>
        <w:numPr>
          <w:numId w:val="1011"/>
          <w:ilvl w:val="1"/>
        </w:numPr>
      </w:pPr>
      <w:r>
        <w:t xml:space="preserve">Filter out los marcados como Snow/Ice y/o Cloudy (2.57 + 7.08 = 9.65 %)</w:t>
      </w:r>
    </w:p>
    <w:p>
      <w:pPr>
        <w:pStyle w:val="Compact"/>
        <w:numPr>
          <w:numId w:val="1011"/>
          <w:ilvl w:val="1"/>
        </w:numPr>
      </w:pPr>
      <w:r>
        <w:t xml:space="preserve">Pixeles marcados como Marginal Data (32.33 %) (ver siguiente paso)</w:t>
      </w:r>
    </w:p>
    <w:p>
      <w:pPr>
        <w:numPr>
          <w:numId w:val="1010"/>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2"/>
          <w:ilvl w:val="1"/>
        </w:numPr>
      </w:pPr>
      <w:r>
        <w:t xml:space="preserve">Vemos los composites marcados con Aerosoles, Adjacent cluods, y Shadow.</w:t>
      </w:r>
      <w:r>
        <w:br w:type="textWrapping"/>
      </w:r>
    </w:p>
    <w:p>
      <w:pPr>
        <w:pStyle w:val="Compact"/>
        <w:numPr>
          <w:numId w:val="1012"/>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0"/>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(EVI~sa)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3"/>
          <w:ilvl w:val="0"/>
        </w:numPr>
      </w:pPr>
      <w:r>
        <w:t xml:space="preserve">incluir citas a Frits; Cooks ...</w:t>
      </w:r>
    </w:p>
    <w:p>
      <w:pPr>
        <w:pStyle w:val="Compact"/>
        <w:numPr>
          <w:numId w:val="1013"/>
          <w:ilvl w:val="0"/>
        </w:numPr>
      </w:pPr>
      <w:r>
        <w:t xml:space="preserve">site cronologies</w:t>
      </w:r>
    </w:p>
    <w:p>
      <w:pPr>
        <w:pStyle w:val="Compact"/>
        <w:numPr>
          <w:numId w:val="1013"/>
          <w:ilvl w:val="0"/>
        </w:numPr>
      </w:pPr>
      <w:r>
        <w:t xml:space="preserve">BAI</w:t>
      </w:r>
    </w:p>
    <w:p>
      <w:pPr>
        <w:pStyle w:val="Compact"/>
        <w:numPr>
          <w:numId w:val="1013"/>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4"/>
          <w:ilvl w:val="0"/>
        </w:numPr>
      </w:pPr>
      <w:r>
        <w:t xml:space="preserve">Explore anomalies EVI</w:t>
      </w:r>
    </w:p>
    <w:p>
      <w:pPr>
        <w:pStyle w:val="Compact"/>
        <w:numPr>
          <w:numId w:val="1014"/>
          <w:ilvl w:val="0"/>
        </w:numPr>
      </w:pPr>
      <w:r>
        <w:t xml:space="preserve">Explore long and short term trends in RW :red_circle: ver correo Guillermo</w:t>
      </w:r>
    </w:p>
    <w:p>
      <w:pPr>
        <w:pStyle w:val="Compact"/>
        <w:numPr>
          <w:numId w:val="1014"/>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referencia a las tendencias en EVI (lo hemos vuelto a calcular y además en el trabajo de ontologías también nos sale)</w:t>
      </w:r>
    </w:p>
    <w:p>
      <w:pPr>
        <w:pStyle w:val="Textodecuerpo"/>
      </w:pPr>
      <w:r>
        <w:t xml:space="preserve">Standardized a</w:t>
      </w:r>
    </w:p>
    <w:p>
      <w:pPr>
        <w:pStyle w:val="Textodecuerpo"/>
      </w:pPr>
      <w:r>
        <w:t xml:space="preserve">Cuando exploramos las anomalías (brutas, estandarizadas y normalizadas) observamos valores muy negativos para el año 2005. Sin embargo vemos valores menos negativos para 2005. Tukey posthoc testing (lsmeans package CITAR) was conducted for pairwise comparisons among the slopes and the disturbance years</w:t>
      </w:r>
    </w:p>
    <w:p>
      <w:pPr>
        <w:pStyle w:val="Textodecuerpo"/>
      </w:pPr>
      <w:r>
        <w:t xml:space="preserve">Las anomalías (sa) fueron significativamente menores en 2005 (-2.285 masmenos 0.029)que para 2012 (-0.418 masmenos 0.029), (LSMEANS, t.ratio = -45.358; p_value &lt; 0.0001)</w:t>
      </w:r>
    </w:p>
    <w:p>
      <w:pPr>
        <w:pStyle w:val="Textodecuerpo"/>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(:red_circle: Fig 1a EVI profile comparison), particu</w:t>
      </w:r>
    </w:p>
    <w:p>
      <w:pPr>
        <w:pStyle w:val="Textodecuerpo"/>
      </w:pPr>
      <w:r>
        <w:t xml:space="preserve">Del análisis de las anomalías observamos:</w:t>
      </w:r>
    </w:p>
    <w:p>
      <w:pPr>
        <w:pStyle w:val="Compact"/>
        <w:numPr>
          <w:numId w:val="1015"/>
          <w:ilvl w:val="0"/>
        </w:numPr>
      </w:pPr>
      <w:r>
        <w:t xml:space="preserve">En 2005 y en 2012 las anomalías fueron negativas.</w:t>
      </w:r>
    </w:p>
    <w:p>
      <w:pPr>
        <w:numPr>
          <w:numId w:val="1015"/>
          <w:ilvl w:val="0"/>
        </w:numPr>
      </w:pPr>
      <w:r>
        <w:t xml:space="preserve">2005 las anomalías fueron mucho mas negativas que para 2012.</w:t>
      </w:r>
    </w:p>
    <w:p>
      <w:pPr>
        <w:numPr>
          <w:numId w:val="1015"/>
          <w:ilvl w:val="0"/>
        </w:numPr>
      </w:pPr>
      <w:r>
        <w:t xml:space="preserve">Analizar magnitud de las anomalías para 2005 y 2012 (comparación entre ellas y entre NyS):</w:t>
      </w:r>
    </w:p>
    <w:p>
      <w:pPr>
        <w:pStyle w:val="FirstParagraph"/>
      </w:pPr>
      <w:r>
        <w:t xml:space="preserve">Reduction in annual EVI mean was considerably higher in northern populations than in southern ones during the 2005 drought.</w:t>
      </w:r>
    </w:p>
    <w:p>
      <w:pPr>
        <w:numPr>
          <w:numId w:val="1016"/>
          <w:ilvl w:val="0"/>
        </w:numPr>
      </w:pPr>
      <w:r>
        <w:t xml:space="preserve">2005 fue el año en el que las anomalías fueron mas negativas, siendo de las anomalías de mas magnitud negativa en las poblaciones del norte.</w:t>
      </w:r>
    </w:p>
    <w:p>
      <w:pPr>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numPr>
          <w:numId w:val="1016"/>
          <w:ilvl w:val="0"/>
        </w:numPr>
      </w:pPr>
      <w:r>
        <w:t xml:space="preserve">Asimismo, las anomalías 2012 fueron negativas pero</w:t>
      </w:r>
    </w:p>
    <w:p>
      <w:pPr>
        <w:pStyle w:val="Ttulo2"/>
      </w:pPr>
      <w:bookmarkStart w:id="43" w:name="resiliencia-evi"/>
      <w:bookmarkEnd w:id="43"/>
      <w:r>
        <w:t xml:space="preserve">Resiliencia EVI</w:t>
      </w:r>
    </w:p>
    <w:p>
      <w:pPr>
        <w:numPr>
          <w:numId w:val="1017"/>
          <w:ilvl w:val="0"/>
        </w:numPr>
      </w:pPr>
      <w:r>
        <w:t xml:space="preserve">Resistencia</w:t>
      </w:r>
    </w:p>
    <w:p>
      <w:pPr>
        <w:pStyle w:val="Compact"/>
        <w:numPr>
          <w:numId w:val="1018"/>
          <w:ilvl w:val="1"/>
        </w:numPr>
      </w:pPr>
      <w:r>
        <w:t xml:space="preserve">Los robledales mostraron menor resistencia a la sequía de 2005 que a la de 2012 [2005: 0.858 (0.853-0.863); 2012: 0.943 (0.939 - 0.947); p &lt;0.0001]</w:t>
      </w:r>
    </w:p>
    <w:p>
      <w:pPr>
        <w:pStyle w:val="Compact"/>
        <w:numPr>
          <w:numId w:val="1018"/>
          <w:ilvl w:val="1"/>
        </w:numPr>
      </w:pPr>
      <w:r>
        <w:t xml:space="preserve">Menor resistencia de las poblaciones del Norte a los eventos de sequía que las del Sur [N: 0.883 (0.877-0.889); S: 0.921 (0.918 - 0.925); p &lt;0.0001]</w:t>
      </w:r>
    </w:p>
    <w:p>
      <w:pPr>
        <w:pStyle w:val="Compact"/>
        <w:numPr>
          <w:numId w:val="1018"/>
          <w:ilvl w:val="1"/>
        </w:numPr>
      </w:pPr>
      <w:r>
        <w:t xml:space="preserve">La resistencia varió en función de la sequía y de la población. Las poblaciones mostraron una resistencia similar al evento de sequía de 2012 (padj = 0.172), sin embargo las poblaciones del N fueron mucho menos resistentes que las del Sur durante la sequía de 2005 [N: 0.819 (0.814-0.824); S: 0.902 (0.896 - 0.907); p &lt;0.0001]</w:t>
      </w:r>
    </w:p>
    <w:p>
      <w:pPr>
        <w:numPr>
          <w:numId w:val="1017"/>
          <w:ilvl w:val="0"/>
        </w:numPr>
      </w:pPr>
      <w:r>
        <w:t xml:space="preserve">Recovery</w:t>
      </w:r>
    </w:p>
    <w:p>
      <w:pPr>
        <w:pStyle w:val="Compact"/>
        <w:numPr>
          <w:numId w:val="1019"/>
          <w:ilvl w:val="1"/>
        </w:numPr>
      </w:pPr>
      <w:r>
        <w:t xml:space="preserve">La recuperación de los robledales fue mayor tras la sequía de 2005 que tras la de 2012 [2005: 1.120 (1.113-1.126); 2012: 1.057 (1.054 - 1.060); p &lt;0.0001]</w:t>
      </w:r>
    </w:p>
    <w:p>
      <w:pPr>
        <w:pStyle w:val="Compact"/>
        <w:numPr>
          <w:numId w:val="1019"/>
          <w:ilvl w:val="1"/>
        </w:numPr>
      </w:pPr>
      <w:r>
        <w:t xml:space="preserve">Los robledales de la cara sur mostraron una menor recuperación que los de la cara norte [N: 1.102 (1.096-1.108); S: 1.069 (1.065 - 1.073); p &lt;0.0001]</w:t>
      </w:r>
    </w:p>
    <w:p>
      <w:pPr>
        <w:pStyle w:val="Compact"/>
        <w:numPr>
          <w:numId w:val="1019"/>
          <w:ilvl w:val="1"/>
        </w:numPr>
      </w:pPr>
      <w:r>
        <w:t xml:space="preserve">Las poblaciones del sur mostraron una recuperación similar ante la sequía de 2005 y 2012 (p = 0.186), cosa que no ocurrió para las poblaciones N (p &lt; 0.0001), que mostró una recuperación mayor para la sequía de 2005 que para la de 2012 [2005: 1.169 (1.161-1.177); 2012: 1.042 (1.036 - 1.047); p &lt;0.0001]. En 2005, las poblaciones del S mostraron menor recuperación; mientras que en 2012 ocurrión un patrón inverso, mostrando un patron mayor que las del norte.</w:t>
      </w:r>
    </w:p>
    <w:p>
      <w:pPr>
        <w:numPr>
          <w:numId w:val="1017"/>
          <w:ilvl w:val="0"/>
        </w:numPr>
      </w:pPr>
      <w:r>
        <w:t xml:space="preserve">Resilience</w:t>
      </w:r>
    </w:p>
    <w:p>
      <w:pPr>
        <w:pStyle w:val="Compact"/>
        <w:numPr>
          <w:numId w:val="1020"/>
          <w:ilvl w:val="1"/>
        </w:numPr>
      </w:pPr>
      <w:r>
        <w:t xml:space="preserve">La resiliencia de los robledales fue mayor para la sequía de 2012 que para la de 2005 [2005: 0.958 (0.955-0.962); 2012: 0.995 (0.991 - 0.998); p &lt;0.0001]</w:t>
      </w:r>
      <w:r>
        <w:br w:type="textWrapping"/>
      </w:r>
    </w:p>
    <w:p>
      <w:pPr>
        <w:pStyle w:val="Compact"/>
        <w:numPr>
          <w:numId w:val="1020"/>
          <w:ilvl w:val="1"/>
        </w:numPr>
      </w:pPr>
      <w:r>
        <w:t xml:space="preserve">Los robledales del sur mostraron mayor resiliencia que los del norte [N: 0.970 (0.966-0.974); S: 0.983 (0.980 - 0.986); p &lt;0.0001], aunque para 2005 ambas poblaciones no mostraron diferencias en la resiliencia (padj = 0.152). En 2012 se observó mayor resiliencia en las del S que en la del N (p&lt;0.0001)</w:t>
      </w:r>
    </w:p>
    <w:p>
      <w:pPr>
        <w:numPr>
          <w:numId w:val="1017"/>
          <w:ilvl w:val="0"/>
        </w:numPr>
      </w:pPr>
      <w:r>
        <w:t xml:space="preserve">Relative Resilience</w:t>
      </w:r>
    </w:p>
    <w:p>
      <w:pPr>
        <w:pStyle w:val="Compact"/>
        <w:numPr>
          <w:numId w:val="1017"/>
          <w:ilvl w:val="0"/>
        </w:numPr>
      </w:pPr>
      <w:r>
        <w:t xml:space="preserve">Los robledales mostraron mayor resiliencia relativa a la sequía de 2005 que a la de 2012 [2005: 0.099 (0.095-0.105); 2012: 0.053 (0.050 - 0.056); p &lt;0.0001]</w:t>
      </w:r>
      <w:r>
        <w:br w:type="textWrapping"/>
      </w:r>
    </w:p>
    <w:p>
      <w:pPr>
        <w:pStyle w:val="Compact"/>
        <w:numPr>
          <w:numId w:val="1017"/>
          <w:ilvl w:val="0"/>
        </w:numPr>
      </w:pPr>
      <w:r>
        <w:t xml:space="preserve">Las poblaciones del sur mostraron menor resiliencia relativa que las del norte [N: 0.086 (0.082-0.092); S: 0.063 (0.060 - 0.066); p &lt;0.0001], debido sobre todo a la diferencia en la resiliencia relativa para las poblaciones del norte entre los dos eventos de sequía (mucha mayor resiliencia relativa en 2012 que en 2005 para las poblaciones del N)</w:t>
      </w:r>
    </w:p>
    <w:p>
      <w:pPr>
        <w:numPr>
          <w:numId w:val="1017"/>
          <w:ilvl w:val="0"/>
        </w:numPr>
      </w:pPr>
      <w:r>
        <w:t xml:space="preserve">Las poblaciones del sur no mostraron diferencias en cuanto a la resiliencia relativa entre los dos eventos de sequía (padj = 0.152)</w:t>
      </w:r>
    </w:p>
    <w:p>
      <w:pPr>
        <w:pStyle w:val="Ttulo2"/>
      </w:pPr>
      <w:bookmarkStart w:id="44" w:name="resiliencia-bai"/>
      <w:bookmarkEnd w:id="44"/>
      <w:r>
        <w:t xml:space="preserve">Resiliencia BAI</w:t>
      </w:r>
    </w:p>
    <w:p>
      <w:pPr>
        <w:pStyle w:val="Compact"/>
        <w:numPr>
          <w:numId w:val="1021"/>
          <w:ilvl w:val="0"/>
        </w:numPr>
      </w:pPr>
      <w:r>
        <w:t xml:space="preserve">Resistance:</w:t>
      </w:r>
    </w:p>
    <w:p>
      <w:pPr>
        <w:pStyle w:val="Compact"/>
        <w:numPr>
          <w:numId w:val="1021"/>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21"/>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21"/>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21"/>
          <w:ilvl w:val="0"/>
        </w:numPr>
      </w:pPr>
      <w:r>
        <w:t xml:space="preserve">Recovery</w:t>
      </w:r>
    </w:p>
    <w:p>
      <w:pPr>
        <w:pStyle w:val="Compact"/>
        <w:numPr>
          <w:numId w:val="1022"/>
          <w:ilvl w:val="1"/>
        </w:numPr>
      </w:pPr>
      <w:r>
        <w:t xml:space="preserve">En general mayor recuperación para el evento de 2012 que para el evento de 2005 [2005: 0.9462 (0.8794-1.013); 2012: 1.161 (1.081 - 1.24); p &lt; 0.001]</w:t>
      </w:r>
    </w:p>
    <w:p>
      <w:pPr>
        <w:pStyle w:val="Ttulo2"/>
      </w:pPr>
      <w:bookmarkStart w:id="45" w:name="references-2"/>
      <w:bookmarkEnd w:id="45"/>
      <w:r>
        <w:t xml:space="preserve">References</w:t>
      </w:r>
    </w:p>
    <w:p>
      <w:pPr>
        <w:pStyle w:val="Ttulo1"/>
      </w:pPr>
      <w:bookmarkStart w:id="46" w:name="discussions-notes"/>
      <w:bookmarkEnd w:id="46"/>
      <w:r>
        <w:t xml:space="preserve">Discussions notes</w:t>
      </w:r>
    </w:p>
    <w:p>
      <w:pPr>
        <w:pStyle w:val="Ttulo2"/>
      </w:pPr>
      <w:bookmarkStart w:id="47" w:name="dos-cronos-en-canar"/>
      <w:bookmarkEnd w:id="47"/>
      <w:r>
        <w:t xml:space="preserve"> Dos cronos en Cañar</w:t>
      </w:r>
    </w:p>
    <w:p>
      <w:pPr>
        <w:pStyle w:val="Compact"/>
        <w:numPr>
          <w:numId w:val="1023"/>
          <w:ilvl w:val="0"/>
        </w:numPr>
      </w:pPr>
      <w:r>
        <w:t xml:space="preserve">Gea-Izquierdo and Cañellas (2014)</w:t>
      </w:r>
      <w:r>
        <w:t xml:space="preserve"> </w:t>
      </w:r>
      <w:r>
        <w:t xml:space="preserve">muestrea solo en CA-Low (QUPY10) y obtiene resultados similares a CA-Low.</w:t>
      </w:r>
    </w:p>
    <w:p>
      <w:pPr>
        <w:pStyle w:val="Compact"/>
        <w:numPr>
          <w:numId w:val="1023"/>
          <w:ilvl w:val="0"/>
        </w:numPr>
      </w:pPr>
      <w:r>
        <w:t xml:space="preserve">En tan poco espacio hay diferencias enormes entre las dos cronos</w:t>
      </w:r>
    </w:p>
    <w:p>
      <w:pPr>
        <w:pStyle w:val="Compact"/>
        <w:numPr>
          <w:numId w:val="1023"/>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8" w:name="references-3"/>
      <w:bookmarkEnd w:id="48"/>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21d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1c9b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06512E"/>
    <w:pPr>
      <w:keepNext/>
      <w:keepLines/>
      <w:spacing w:before="320" w:after="120"/>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248</Words>
  <Characters>1366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2017-09-15T22:36:07Z</dcterms:created>
  <dcterms:modified xsi:type="dcterms:W3CDTF">2017-09-15T22:36:07Z</dcterms:modified>
</cp:coreProperties>
</file>