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Compact"/>
        <w:numPr>
          <w:numId w:val="1001"/>
          <w:ilvl w:val="0"/>
        </w:numPr>
      </w:pPr>
      <w:r>
        <w:t xml:space="preserve">The vegetation response to water deficit was assessed using remote sensing information and dendrocronologial data.</w:t>
      </w:r>
    </w:p>
    <w:p>
      <w:pPr>
        <w:pStyle w:val="FirstParagraph"/>
      </w:pPr>
      <w:r>
        <w:t xml:space="preserve">Ideas a expresar</w:t>
      </w:r>
    </w:p>
    <w:p>
      <w:pPr>
        <w:pStyle w:val="Ttulo3"/>
      </w:pPr>
      <w:bookmarkStart w:id="22" w:name="remote-sensing"/>
      <w:bookmarkEnd w:id="22"/>
      <w:r>
        <w:t xml:space="preserve">Remote sensing</w:t>
      </w:r>
    </w:p>
    <w:p>
      <w:pPr>
        <w:pStyle w:val="Compact"/>
        <w:numPr>
          <w:numId w:val="1002"/>
          <w:ilvl w:val="0"/>
        </w:numPr>
      </w:pPr>
      <w:r>
        <w:t xml:space="preserve">Uso de Remote sensing para estudiar la sequía --&gt; Leer</w:t>
      </w:r>
      <w:r>
        <w:t xml:space="preserve"> </w:t>
      </w:r>
      <w:r>
        <w:t xml:space="preserve">Zhang et al. (2013)</w:t>
      </w:r>
      <w:r>
        <w:t xml:space="preserve"> </w:t>
      </w:r>
      <w:r>
        <w:t xml:space="preserve">y escribir algo. Drought monitoring using remote-sensing approach was originally applied to agriculture. Several remote-sensing derived indices have been used to study the drought effects on vegetation ...</w:t>
      </w:r>
    </w:p>
    <w:p>
      <w:pPr>
        <w:pStyle w:val="Compact"/>
        <w:numPr>
          <w:numId w:val="1002"/>
          <w:ilvl w:val="0"/>
        </w:numPr>
      </w:pPr>
      <w:r>
        <w:t xml:space="preserve">Leer también a</w:t>
      </w:r>
      <w:r>
        <w:t xml:space="preserve"> </w:t>
      </w:r>
      <w:r>
        <w:t xml:space="preserve">AghaKouchak et al. (2015)</w:t>
      </w:r>
    </w:p>
    <w:p>
      <w:pPr>
        <w:pStyle w:val="Ttulo3"/>
      </w:pPr>
      <w:bookmarkStart w:id="23" w:name="sequias"/>
      <w:bookmarkEnd w:id="23"/>
      <w:r>
        <w:t xml:space="preserve">Sequías</w:t>
      </w:r>
    </w:p>
    <w:p>
      <w:pPr>
        <w:pStyle w:val="FirstParagraph"/>
      </w:pPr>
      <w:r>
        <w:t xml:space="preserve">Although summer drought is a characteristic feature of the Mediterranean climate</w:t>
      </w:r>
      <w:r>
        <w:t xml:space="preserve"> </w:t>
      </w:r>
      <w:r>
        <w:t xml:space="preserve">(Lionello 2012)</w:t>
      </w:r>
      <w:r>
        <w:t xml:space="preserve">,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w:t>
      </w:r>
    </w:p>
    <w:p>
      <w:pPr>
        <w:pStyle w:val="Textodecuerpo"/>
      </w:pPr>
      <w:r>
        <w:t xml:space="preserve">In the Iberian Peninsula, major drought episodies were recorded in 1981, 1995, 2000 and 2005</w:t>
      </w:r>
      <w:r>
        <w:t xml:space="preserve"> </w:t>
      </w:r>
      <w:r>
        <w:t xml:space="preserve">(Vicente-Serrano et al. 2014)</w:t>
      </w:r>
      <w:r>
        <w:t xml:space="preserve">. The 2004/2005 and 2011/2012 hydrological years are considered two of the worst drought periods recorded in the Iberian Peninsula, particularly in the southern sector</w:t>
      </w:r>
      <w:r>
        <w:t xml:space="preserve"> </w:t>
      </w:r>
      <w:r>
        <w:t xml:space="preserve">(García-Herrera et al. 2007, Trigo et al. 2013, Gouveia et al. 2015)</w:t>
      </w:r>
      <w:r>
        <w:t xml:space="preserve">. These events were extreme in both its magnitude and spatial extent</w:t>
      </w:r>
      <w:r>
        <w:t xml:space="preserve"> </w:t>
      </w:r>
      <w:r>
        <w:t xml:space="preserve">(Gouveia and Trigo 2014)</w:t>
      </w:r>
      <w:r>
        <w:t xml:space="preserve">.</w:t>
      </w:r>
    </w:p>
    <w:p>
      <w:pPr>
        <w:pStyle w:val="Ttulo3"/>
      </w:pPr>
      <w:bookmarkStart w:id="24" w:name="ideas-a-incluir"/>
      <w:bookmarkEnd w:id="24"/>
      <w:r>
        <w:t xml:space="preserve">Ideas a incluir</w:t>
      </w:r>
    </w:p>
    <w:p>
      <w:pPr>
        <w:numPr>
          <w:numId w:val="1003"/>
          <w:ilvl w:val="0"/>
        </w:numPr>
      </w:pPr>
      <w:r>
        <w:t xml:space="preserve">:red_circle: Algo de las sequías de 2005 y 2014</w:t>
      </w:r>
    </w:p>
    <w:p>
      <w:pPr>
        <w:numPr>
          <w:numId w:val="1003"/>
          <w:ilvl w:val="0"/>
        </w:numPr>
      </w:pPr>
      <w:r>
        <w:t xml:space="preserve">Extreme sequías y ecología</w:t>
      </w:r>
    </w:p>
    <w:p>
      <w:pPr>
        <w:pStyle w:val="BlockText"/>
      </w:pPr>
      <w:r>
        <w:t xml:space="preserve">notas sequia</w:t>
      </w:r>
    </w:p>
    <w:p>
      <w:pPr>
        <w:pStyle w:val="Compact"/>
        <w:pStyle w:val="BlockText"/>
        <w:numPr>
          <w:numId w:val="1004"/>
          <w:ilvl w:val="0"/>
        </w:numPr>
      </w:pPr>
      <w:r>
        <w:t xml:space="preserve">the drought events have been longest and most severe in the period 1991-2010 for mediterranean are of Southern Europe</w:t>
      </w:r>
      <w:r>
        <w:br w:type="textWrapping"/>
      </w:r>
    </w:p>
    <w:p>
      <w:pPr>
        <w:pStyle w:val="Compact"/>
        <w:pStyle w:val="BlockText"/>
        <w:numPr>
          <w:numId w:val="1004"/>
          <w:ilvl w:val="0"/>
        </w:numPr>
      </w:pPr>
      <w:r>
        <w:t xml:space="preserve">Seasonally, drought frequency is projected to increase everywhere in Europe for both scenarios in spring and summer, especially over southern Europe, and less intensely in autumn</w:t>
      </w:r>
      <w:r>
        <w:t xml:space="preserve"> </w:t>
      </w:r>
      <w:r>
        <w:t xml:space="preserve">(Spinoni et al. 2017b)</w:t>
      </w:r>
      <w:r>
        <w:t xml:space="preserve"> </w:t>
      </w:r>
      <w:r>
        <w:t xml:space="preserve">Aumento de la frecuencia de sequías en spring and summer desde 1950 hasta 2014</w:t>
      </w:r>
      <w:r>
        <w:t xml:space="preserve"> </w:t>
      </w:r>
      <w:r>
        <w:t xml:space="preserve">(Spinoni et al. 2017a)</w:t>
      </w:r>
      <w:r>
        <w:t xml:space="preserve"> </w:t>
      </w:r>
      <w:r>
        <w:t xml:space="preserve">Both for frequency and severity, the evolution towards drier conditions is more relevant in the last three decades over Mediterranean area in summer,</w:t>
      </w:r>
      <w:r>
        <w:t xml:space="preserve"> </w:t>
      </w:r>
      <w:r>
        <w:t xml:space="preserve">an increase in the drought severity in the Iberian Peninsula has been observed in the last decades</w:t>
      </w:r>
      <w:r>
        <w:t xml:space="preserve"> </w:t>
      </w:r>
      <w:r>
        <w:t xml:space="preserve">(Vicente-Serrano et al. 2014)</w:t>
      </w:r>
      <w:r>
        <w:t xml:space="preserve">.</w:t>
      </w:r>
    </w:p>
    <w:p>
      <w:pPr>
        <w:pStyle w:val="FirstParagraph"/>
      </w:pPr>
      <w:r>
        <w:t xml:space="preserve">frecuencia de las sequías severas (ver Dai 2011)</w:t>
      </w:r>
    </w:p>
    <w:p>
      <w:pPr>
        <w:pStyle w:val="Textodecuerpo"/>
      </w:pPr>
      <w:r>
        <w:t xml:space="preserve">Althought several works have reported these two years as some of the worst drought events, we characterised the drought at several spatio-temporal scales in the study area. From a long-term perspective, we compare the accumulated monthly precipitation at a meteorological station (Granada, Base Aérea) during the hydrological years 2004-2005 and 2011-2012 with the average of accumulated monthly precipitation for the period 1950-2015.</w:t>
      </w:r>
    </w:p>
    <w:p>
      <w:pPr>
        <w:pStyle w:val="Compact"/>
        <w:numPr>
          <w:numId w:val="1005"/>
          <w:ilvl w:val="0"/>
        </w:numPr>
      </w:pPr>
      <w:r>
        <w:t xml:space="preserve">Extreme sequias y ecologia</w:t>
      </w:r>
    </w:p>
    <w:p>
      <w:pPr>
        <w:pStyle w:val="Compact"/>
        <w:numPr>
          <w:numId w:val="1005"/>
          <w:ilvl w:val="0"/>
        </w:numPr>
      </w:pPr>
      <w:r>
        <w:t xml:space="preserve">Como la dendro ayuda a evaluar las sequías (ver Gazol 2017)</w:t>
      </w:r>
    </w:p>
    <w:p>
      <w:pPr>
        <w:pStyle w:val="FirstParagraph"/>
      </w:pPr>
      <w:r>
        <w:t xml:space="preserve">Extreme climate events (as droughts, heatwaves) severely affect forests and grasslands throuhg changes in plant physiology, phenology and carbon allocation</w:t>
      </w:r>
      <w:r>
        <w:t xml:space="preserve"> </w:t>
      </w:r>
      <w:r>
        <w:t xml:space="preserve">(Ummenhofer and Meehl 2017)</w:t>
      </w:r>
      <w:r>
        <w:t xml:space="preserve">.</w:t>
      </w:r>
    </w:p>
    <w:p>
      <w:pPr>
        <w:pStyle w:val="Textodecuerpo"/>
      </w:pPr>
      <w:r>
        <w:t xml:space="preserve">Droughts are most likely to have the largest and most long-lasting impacts globally due to large indirect and lagged impacts and long recovery especially for forest ecosystems (ver 18 en</w:t>
      </w:r>
      <w:r>
        <w:t xml:space="preserve"> </w:t>
      </w:r>
      <w:r>
        <w:t xml:space="preserve">Ummenhofer and Meehl (2017)</w:t>
      </w:r>
      <w:r>
        <w:t xml:space="preserve">)</w:t>
      </w:r>
    </w:p>
    <w:p>
      <w:pPr>
        <w:pStyle w:val="Ttulo3"/>
      </w:pPr>
      <w:bookmarkStart w:id="25" w:name="section"/>
      <w:bookmarkEnd w:id="25"/>
    </w:p>
    <w:p>
      <w:pPr>
        <w:pStyle w:val="FirstParagraph"/>
      </w:pPr>
      <w:r>
        <w:t xml:space="preserve">Uso de NDVI como estimador de la NPP:</w:t>
      </w:r>
    </w:p>
    <w:p>
      <w:pPr>
        <w:numPr>
          <w:numId w:val="1006"/>
          <w:ilvl w:val="0"/>
        </w:numPr>
      </w:pPr>
      <w:r>
        <w:t xml:space="preserve">The NDVI properties have allowed the use of this information for estimating the Net Primary Production (NPP) (Goward and Dye, 1987; Running et al., 2004; Hasenauer et al., 2012). Different studies have already found a strong relationship between NPP and radial growth (e.g., Granier et al., 2008; Babst et al., 2013, 2014a, 2014b; Vicente-Serrano et al., 2015), albeit with significant differences, particularly those related to species, sites and environmental conditions.</w:t>
      </w:r>
    </w:p>
    <w:p>
      <w:pPr>
        <w:numPr>
          <w:numId w:val="1006"/>
          <w:ilvl w:val="0"/>
        </w:numPr>
      </w:pPr>
      <w:r>
        <w:t xml:space="preserve">Ver Gilaber et al. 2017</w:t>
      </w:r>
      <w:r>
        <w:t xml:space="preserve"> </w:t>
      </w:r>
      <w:hyperlink r:id="rId26">
        <w:r>
          <w:rPr>
            <w:rStyle w:val="Hipervnculo"/>
          </w:rPr>
          <w:t xml:space="preserve">http://www.mdpi.com/2072-4292/9/3/193</w:t>
        </w:r>
      </w:hyperlink>
    </w:p>
    <w:p>
      <w:pPr>
        <w:pStyle w:val="Ttulo3"/>
      </w:pPr>
      <w:bookmarkStart w:id="27" w:name="aims"/>
      <w:bookmarkEnd w:id="27"/>
      <w:r>
        <w:t xml:space="preserve">Aims</w:t>
      </w:r>
    </w:p>
    <w:p>
      <w:pPr>
        <w:pStyle w:val="FirstParagraph"/>
      </w:pPr>
      <w:r>
        <w:rPr>
          <w:rStyle w:val="VerbatimChar"/>
        </w:rPr>
        <w:t xml:space="preserve">$IMPROVE$</w:t>
      </w:r>
    </w:p>
    <w:p>
      <w:pPr>
        <w:pStyle w:val="Textodecuerpo"/>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7"/>
          <w:ilvl w:val="0"/>
        </w:numPr>
      </w:pPr>
      <w:r>
        <w:t xml:space="preserve">To quantify how two extreme drought events influenced the greennes and radial growth of</w:t>
      </w:r>
      <w:r>
        <w:t xml:space="preserve"> </w:t>
      </w:r>
      <w:r>
        <w:rPr>
          <w:i/>
        </w:rPr>
        <w:t xml:space="preserve">Q. pyreancia</w:t>
      </w:r>
      <w:r>
        <w:t xml:space="preserve"> </w:t>
      </w:r>
      <w:r>
        <w:t xml:space="preserve">forests in their rear edge,</w:t>
      </w:r>
    </w:p>
    <w:p>
      <w:pPr>
        <w:numPr>
          <w:numId w:val="1007"/>
          <w:ilvl w:val="0"/>
        </w:numPr>
      </w:pPr>
      <w:r>
        <w:t xml:space="preserve">to analyze the resilience of these forests to sucessive extrme drought events,</w:t>
      </w:r>
    </w:p>
    <w:p>
      <w:pPr>
        <w:numPr>
          <w:numId w:val="1007"/>
          <w:ilvl w:val="0"/>
        </w:numPr>
      </w:pPr>
      <w:r>
        <w:t xml:space="preserve">and to explore differences in the resilience metrics between populations located in contrasting slopes within the rear edge of the distribution of this species.</w:t>
      </w:r>
    </w:p>
    <w:p>
      <w:pPr>
        <w:pStyle w:val="Ttulo2"/>
      </w:pPr>
      <w:bookmarkStart w:id="28" w:name="references"/>
      <w:bookmarkEnd w:id="28"/>
      <w:r>
        <w:t xml:space="preserve">References</w:t>
      </w:r>
    </w:p>
    <w:p>
      <w:pPr>
        <w:pStyle w:val="Ttulo1"/>
      </w:pPr>
      <w:bookmarkStart w:id="29" w:name="materials-and-methods"/>
      <w:bookmarkEnd w:id="29"/>
      <w:r>
        <w:t xml:space="preserve">Materials and methods</w:t>
      </w:r>
    </w:p>
    <w:p>
      <w:pPr>
        <w:pStyle w:val="Ttulo2"/>
      </w:pPr>
      <w:bookmarkStart w:id="30" w:name="species-and-study-site"/>
      <w:bookmarkEnd w:id="30"/>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(Rivas-Martínez et al. 2002)</w:t>
      </w:r>
      <w:r>
        <w:t xml:space="preserve"> </w:t>
      </w:r>
      <w:r>
        <w:t xml:space="preserve">living on siliceous soils, or soils poor in basic ions</w:t>
      </w:r>
      <w:r>
        <w:t xml:space="preserve"> </w:t>
      </w:r>
      <w:r>
        <w:t xml:space="preserve">(Serna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 (Martínez-Parras and Molero-Mesa 1982, García and Jiménez 2009), with summer rainfall being a key factor in the distribution of the species (Gavilán et al. 2007, Río et al. 2007).</w:t>
      </w:r>
    </w:p>
    <w:p>
      <w:pPr>
        <w:pStyle w:val="Textodecuerpo"/>
      </w:pPr>
      <w:r>
        <w:t xml:space="preserve">This species reaches its southernmost European limit at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w:t>
      </w:r>
      <w:r>
        <w:rPr>
          <w:b/>
        </w:rPr>
        <w:t xml:space="preserve">Figure 1</w:t>
      </w:r>
      <w:r>
        <w:t xml:space="preserve">) in this mountain range, ranging between 1100 and 2000 m</w:t>
      </w:r>
      <w:r>
        <w:t xml:space="preserve"> </w:t>
      </w:r>
      <w:r>
        <w:rPr>
          <w:i/>
        </w:rPr>
        <w:t xml:space="preserve">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 (Brewer et al. 2002, Olalde et al. 2002, Rodríguez-Sánchez et al. 2010) and these populations are considered as a rear edge of the habitat distribution, which is important in determining habitat responses to expected climate change (Hampe and Petit 2005).</w:t>
      </w:r>
    </w:p>
    <w:p>
      <w:pPr>
        <w:pStyle w:val="Textodecuerpo"/>
      </w:pPr>
      <w:r>
        <w:t xml:space="preserve">:red_circle:</w:t>
      </w:r>
      <w:r>
        <w:t xml:space="preserve"> </w:t>
      </w:r>
      <w:r>
        <w:rPr>
          <w:rStyle w:val="VerbatimChar"/>
        </w:rPr>
        <w:t xml:space="preserve">duda aqui</w:t>
      </w:r>
      <w:r>
        <w:t xml:space="preserve"> </w:t>
      </w:r>
      <w:r>
        <w:t xml:space="preserve">Varias referencias hablan de los años 2005 y 2012 como extremadamente secos. Pero habría que hacer alguna referencia y/o análisis. Tengo dudas de si hemos de analizar (e incluir) que efectivamente los años 2005 y 2012 fueron caracterizados por un extrema sequía, por lo que habría que incluyendo referencia a apéndice</w:t>
      </w:r>
    </w:p>
    <w:p>
      <w:pPr>
        <w:pStyle w:val="Compact"/>
        <w:numPr>
          <w:numId w:val="1008"/>
          <w:ilvl w:val="0"/>
        </w:numPr>
      </w:pPr>
      <w:r>
        <w:t xml:space="preserve">O quizá un apartado llamado Drought episodes (similar a esto</w:t>
      </w:r>
      <w:r>
        <w:t xml:space="preserve"> </w:t>
      </w:r>
      <w:hyperlink r:id="rId31">
        <w:r>
          <w:rPr>
            <w:rStyle w:val="Hipervnculo"/>
          </w:rPr>
          <w:t xml:space="preserve">https://www.nature.com/articles/srep28269</w:t>
        </w:r>
      </w:hyperlink>
      <w:r>
        <w:t xml:space="preserve">)</w:t>
      </w:r>
    </w:p>
    <w:p>
      <w:pPr>
        <w:pStyle w:val="FirstParagraph"/>
      </w:pPr>
      <w:r>
        <w:t xml:space="preserve">The populations of Pyrenean oak forests at Sierra Nevada are considered relict forests (Melendo and Valle 2000, Vivero et al. 2000), undergoing intensive anthropic use in the last few decades (Camacho-Olmedo et al. 2002, Valbuena-Carabaña et al. 2010). In fact, the status of conservation of this species for southern Spain is "Vulnerable" (Vivero et al. 2000). The relict presence of this species in Sierra Nevada is related both to its genetic resilience as well as to its high intraspecific genetic diversity (Valbuena-Carabaña and Gil 2013). However, they are also expected to suffer the impact of climate change, due to their climate requirements (wet summers). Thus, simulations of the climate change effects on this habitat forecast a reduction in suitable habitats for Sierra Nevada (Benito et al. 2011).</w:t>
      </w:r>
    </w:p>
    <w:p>
      <w:pPr>
        <w:pStyle w:val="Ttulo2"/>
      </w:pPr>
      <w:bookmarkStart w:id="32" w:name="datos-de-sequia."/>
      <w:bookmarkEnd w:id="32"/>
      <w:r>
        <w:t xml:space="preserve">Datos de sequía.</w:t>
      </w:r>
    </w:p>
    <w:p>
      <w:pPr>
        <w:pStyle w:val="Compact"/>
        <w:numPr>
          <w:numId w:val="1009"/>
          <w:ilvl w:val="0"/>
        </w:numPr>
      </w:pPr>
      <w:r>
        <w:t xml:space="preserve">:red_circle: Meter aquí algunos datos de sequia, similar a lo planteado por Gazol</w:t>
      </w:r>
    </w:p>
    <w:p>
      <w:pPr>
        <w:pStyle w:val="Ttulo3"/>
      </w:pPr>
      <w:bookmarkStart w:id="33" w:name="greenness-data"/>
      <w:bookmarkEnd w:id="33"/>
      <w:r>
        <w:t xml:space="preserve">Greenness data</w:t>
      </w:r>
    </w:p>
    <w:p>
      <w:pPr>
        <w:pStyle w:val="FirstParagraph"/>
      </w:pPr>
      <w:r>
        <w:t xml:space="preserve">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MODIS EVI Data from Collection 6 were obtanied using Google Earth Engine platform for the period 2000 - 2016. A data filtering was applied to select EVI valid values. The filtering was done using quality flags and VI Usefulness Indices accompanying the EVI data. We filter out those values affected by high content of aerosols, clouds, shadows, snow or water.</w:t>
      </w:r>
    </w:p>
    <w:p>
      <w:pPr>
        <w:pStyle w:val="Textodecuerpo"/>
      </w:pPr>
      <w:r>
        <w:t xml:space="preserve">Each 1 × 1 km2 16-day composite EVI value is considered valid when (a) EVI data is produced—'MODLAND_QA' equals 0 (good quality) or 1 (check other QA), (b) VI usefulness is between 0 and 11, (c) clouds are absent—'adjacent cloud detected' (0), 'mixed clouds' (0) and 'possible shadow' (0), and (d) aerosol content is low or average—'aerosol quantity' (1 or 2). Note that 'MODLAND_QA' checks whether EVI is produced or not, and if produced, its quality is good or whether other quality flags should also be checked. Besides, VI usefulness indices between 0 to 11 essentially include all EVI data. Thus, these two conditions serve as additional checks.</w:t>
      </w:r>
    </w:p>
    <w:p>
      <w:pPr>
        <w:pStyle w:val="Textodecuerpo"/>
      </w:pPr>
      <w:r>
        <w:t xml:space="preserve">and then a quality assessment was carried out to filter the ...</w:t>
      </w:r>
      <w:r>
        <w:t xml:space="preserve"> </w:t>
      </w:r>
      <w:r>
        <w:t xml:space="preserve">(Reyes-Díez et al. 2015)</w:t>
      </w:r>
    </w:p>
    <w:p>
      <w:pPr>
        <w:pStyle w:val="SourceCode"/>
      </w:pPr>
      <w:r>
        <w:rPr>
          <w:rStyle w:val="VerbatimChar"/>
        </w:rPr>
        <w:t xml:space="preserve">* According to @Reyes2015 we must consider the shadow in the mountain, but we can discard the filter of adjacent clouds. On the other hand, the use of EVI mean is highly stable under the use of any filter [@Reyes2015]</w:t>
      </w:r>
    </w:p>
    <w:p>
      <w:pPr>
        <w:pStyle w:val="FirstParagraph"/>
      </w:pPr>
      <w:r>
        <w:t xml:space="preserve">The presence of clouds (adjacent clouds, mixed clouds and shadows) 'obscures' the surface in a radiometric sense, thus corrupting inferred EVI values. In addition, two types of aerosol loadings typically corrupt EVI—climatology and high aerosols. Use of aerosol climatology</w:t>
      </w:r>
    </w:p>
    <w:p>
      <w:pPr>
        <w:pStyle w:val="Textodecuerpo"/>
      </w:pPr>
      <w:r>
        <w:t xml:space="preserve">The EVI data are geometrically and atmospherically corrected and include information about the quality ass....</w:t>
      </w:r>
    </w:p>
    <w:p>
      <w:pPr>
        <w:pStyle w:val="Textodecuerpo"/>
      </w:pPr>
      <w:r>
        <w:rPr>
          <w:rStyle w:val="VerbatimChar"/>
        </w:rPr>
        <w:t xml:space="preserve">$NOTA$</w:t>
      </w:r>
      <w:r>
        <w:t xml:space="preserve">: NDVI sirve para estimar la producción primaria neta. Existen diferentes estudio que han evaluado el efecto de la sequía sobre la producción primaria neta utilizando NDVI.</w:t>
      </w:r>
    </w:p>
    <w:p>
      <w:pPr>
        <w:pStyle w:val="Textodecuerpo"/>
      </w:pPr>
      <w:r>
        <w:t xml:space="preserve">These data are geometrically and atmospherically corrected, and include an index of data quality (reliability, which range from 0 – good quality data – to 4 – raw data or absent for different reasons) based on the environmental conditions in which the data was recorded</w:t>
      </w:r>
    </w:p>
    <w:p>
      <w:pPr>
        <w:pStyle w:val="Textodecuerpo"/>
      </w:pPr>
      <w:r>
        <w:t xml:space="preserve">We first used the Quality Assesment (QA band) information of this product to filter out those values affected by high content of aerosols, clouds, shadows, snow or water; and then a quality assessment was carried out to filter the ...</w:t>
      </w:r>
      <w:r>
        <w:t xml:space="preserve"> </w:t>
      </w:r>
      <w:r>
        <w:t xml:space="preserve">(Reyes-Díez et al. 2015)</w:t>
      </w:r>
    </w:p>
    <w:p>
      <w:pPr>
        <w:pStyle w:val="Textodecuerpo"/>
      </w:pPr>
      <w:r>
        <w:t xml:space="preserve">:red_circle: reescribir esto de la calidad. Ver Samanta et al 2012 y como describe el proceso de calidad</w:t>
      </w:r>
    </w:p>
    <w:p>
      <w:pPr>
        <w:pStyle w:val="Textodecuerpo"/>
      </w:pPr>
      <w:r>
        <w:t xml:space="preserve">OJITO---------- reescribir esto de arriba</w:t>
      </w:r>
    </w:p>
    <w:p>
      <w:pPr>
        <w:pStyle w:val="Textodecuerpo"/>
      </w:pPr>
      <w:r>
        <w:t xml:space="preserve">After the filter out process, we built the annual EVI profile for each pixel and then computed the EVI's annual mean values and the EVI anomaly for each pixel for the period 2000 - 2015. (:red_circle: Hemos seleccionado EVI medio, además de por los consejos que me ha dicho Domingo, porque he comprobado que existe una correlación entre el evi medio y el evi estacional, sobre todo el de verano. Ver esto:</w:t>
      </w:r>
      <w:r>
        <w:t xml:space="preserve"> </w:t>
      </w:r>
      <w:hyperlink r:id="rId34">
        <w:r>
          <w:rPr>
            <w:rStyle w:val="Hipervnculo"/>
          </w:rPr>
          <w:t xml:space="preserve">https://github.com/ajpelu/qpyr_modis_resilience/blob/master/analysis/prepare_modis_qa.md</w:t>
        </w:r>
      </w:hyperlink>
      <w:r>
        <w:t xml:space="preserve">. Además presenta alta correlaciones significativas con el EVI de verano: 0.88; de primavera: 0.76 y anual: 0.81)</w:t>
      </w:r>
    </w:p>
    <w:p>
      <w:pPr>
        <w:pStyle w:val="BlockText"/>
      </w:pPr>
      <w:r>
        <w:t xml:space="preserve">Procedimiento de Filtrado de datos (ver</w:t>
      </w:r>
      <w:r>
        <w:t xml:space="preserve"> </w:t>
      </w:r>
      <w:hyperlink r:id="rId34">
        <w:r>
          <w:rPr>
            <w:rStyle w:val="Hipervnculo"/>
          </w:rPr>
          <w:t xml:space="preserve">https://github.com/ajpelu/qpyr_modis_resilience/blob/master/analysis/prepare_modis_qa.md</w:t>
        </w:r>
      </w:hyperlink>
      <w:r>
        <w:t xml:space="preserve">)</w:t>
      </w:r>
    </w:p>
    <w:p>
      <w:pPr>
        <w:numPr>
          <w:numId w:val="1010"/>
          <w:ilvl w:val="0"/>
        </w:numPr>
      </w:pPr>
      <w:r>
        <w:t xml:space="preserve">Información contenida en banda QA.</w:t>
      </w:r>
    </w:p>
    <w:p>
      <w:pPr>
        <w:pStyle w:val="Compact"/>
        <w:numPr>
          <w:numId w:val="1011"/>
          <w:ilvl w:val="1"/>
        </w:numPr>
      </w:pPr>
      <w:r>
        <w:t xml:space="preserve">Nos quedamos con pixeles marcados como Good Data (57.89 %)</w:t>
      </w:r>
    </w:p>
    <w:p>
      <w:pPr>
        <w:pStyle w:val="Compact"/>
        <w:numPr>
          <w:numId w:val="1011"/>
          <w:ilvl w:val="1"/>
        </w:numPr>
      </w:pPr>
      <w:r>
        <w:t xml:space="preserve">Filter out los marcados como Snow/Ice y/o Cloudy (2.57 + 7.08 = 9.65 %)</w:t>
      </w:r>
    </w:p>
    <w:p>
      <w:pPr>
        <w:pStyle w:val="Compact"/>
        <w:numPr>
          <w:numId w:val="1011"/>
          <w:ilvl w:val="1"/>
        </w:numPr>
      </w:pPr>
      <w:r>
        <w:t xml:space="preserve">Pixeles marcados como Marginal Data (32.33 %) (ver siguiente paso)</w:t>
      </w:r>
    </w:p>
    <w:p>
      <w:pPr>
        <w:numPr>
          <w:numId w:val="1010"/>
          <w:ilvl w:val="0"/>
        </w:numPr>
      </w:pPr>
      <w:r>
        <w:t xml:space="preserve">Explorar distribución temporal y analizar banda QA Detailed y llevar a cabo un filtrado siguiendo las especificaciones de</w:t>
      </w:r>
      <w:r>
        <w:t xml:space="preserve"> </w:t>
      </w:r>
      <w:r>
        <w:t xml:space="preserve">Reyes-Díez et al. (2015)</w:t>
      </w:r>
      <w:r>
        <w:t xml:space="preserve">.</w:t>
      </w:r>
    </w:p>
    <w:p>
      <w:pPr>
        <w:pStyle w:val="Compact"/>
        <w:numPr>
          <w:numId w:val="1012"/>
          <w:ilvl w:val="1"/>
        </w:numPr>
      </w:pPr>
      <w:r>
        <w:t xml:space="preserve">Vemos los composites marcados con Aerosoles, Adjacent cluods, y Shadow.</w:t>
      </w:r>
      <w:r>
        <w:br w:type="textWrapping"/>
      </w:r>
    </w:p>
    <w:p>
      <w:pPr>
        <w:pStyle w:val="Compact"/>
        <w:numPr>
          <w:numId w:val="1012"/>
          <w:ilvl w:val="1"/>
        </w:numPr>
      </w:pPr>
      <w:r>
        <w:t xml:space="preserve">According to</w:t>
      </w:r>
      <w:r>
        <w:t xml:space="preserve"> </w:t>
      </w:r>
      <w:r>
        <w:t xml:space="preserve">Reyes-Díez et al. (2015)</w:t>
      </w:r>
      <w:r>
        <w:t xml:space="preserve"> </w:t>
      </w:r>
      <w:r>
        <w:t xml:space="preserve">we must consider the shadow in the mountain, but we can discard the filter of adjacent clouds. On the other hand, the use of EVI mean is highly stable under the use of any filter</w:t>
      </w:r>
      <w:r>
        <w:t xml:space="preserve"> </w:t>
      </w:r>
      <w:r>
        <w:t xml:space="preserve">(Reyes-Díez et al. 2015)</w:t>
      </w:r>
    </w:p>
    <w:p>
      <w:pPr>
        <w:numPr>
          <w:numId w:val="1010"/>
          <w:ilvl w:val="0"/>
        </w:numPr>
      </w:pPr>
      <w:r>
        <w:t xml:space="preserve">Finalmente nos hemos quedado con las siguientes cifras. De un total de 360064 images composites for the study zone were downloaded (928 x 20 x 1 + 928 x 23 x 16 = 360064), tras el filtrado, nos quedamos con 286825 (79.65 %)</w:t>
      </w:r>
    </w:p>
    <w:p>
      <w:pPr>
        <w:pStyle w:val="FirstParagraph"/>
      </w:pPr>
      <w:r>
        <w:t xml:space="preserve">To explore the effect of drought events on greenness we calculated the EVI standardized anomaly (EVI~sa) pixel-by-pixel, since it minimizes biases in the evaluation of anomalies, providing more information about the magnitude of the anomalies</w:t>
      </w:r>
      <w:r>
        <w:t xml:space="preserve"> </w:t>
      </w:r>
      <w:r>
        <w:t xml:space="preserve">(Samanta et al. 2012,</w:t>
      </w:r>
      <w:r>
        <w:t xml:space="preserve"> </w:t>
      </w:r>
      <w:r>
        <w:t xml:space="preserve">Gao et al. (2016)</w:t>
      </w:r>
      <w:r>
        <w:t xml:space="preserve">)</w:t>
      </w:r>
      <w:r>
        <w:t xml:space="preserve">. For each pixel we averaged all the EVI valid values within a year (:red_filter: see quality filter),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w:t>
      </w:r>
    </w:p>
    <w:p>
      <w:pPr>
        <w:pStyle w:val="Ttulo2"/>
      </w:pPr>
      <w:bookmarkStart w:id="35" w:name="field-sampling-and-dendrochronological-methods"/>
      <w:bookmarkEnd w:id="35"/>
      <w:r>
        <w:t xml:space="preserve">Field sampling and dendrochronological methods</w:t>
      </w:r>
    </w:p>
    <w:p>
      <w:pPr>
        <w:pStyle w:val="Ttulo3"/>
      </w:pPr>
      <w:bookmarkStart w:id="36" w:name="tree-sampling"/>
      <w:bookmarkEnd w:id="36"/>
      <w:r>
        <w:t xml:space="preserve">Tree sampling</w:t>
      </w:r>
    </w:p>
    <w:p>
      <w:pPr>
        <w:pStyle w:val="FirstParagraph"/>
      </w:pPr>
      <w:r>
        <w:t xml:space="preserve">Samplig was carried during autumn of 2016. Trees were sampled at two locations in contrasting slopes of Sierra Nevada: San Juan (SJ; northern site) and Cáñar (CA; southern site) (Figure 1; Table 1). Two elevations were sampled for the southern site (CA-Low and CA-High). All the sites were oak monospecific and representatives of two of the three the population's cluster identified for the specie in this mountain range (:red_circle: mejorar; citar Pérz-Luque et al..). In each site between 15 and 20 dominant trees were randomly selected. Two cores of 5 mm of diameter were taken from each at breast heith (1.3 m) using an increment borer. For each tree, diameter at breat height (DBH) and total height were recorded. Increment cores were air dried, glued onto wooden mounts and sanded. Annual radial growth (ring width, RW) were measured with a LINTAB measuring device (Rinntech, Heidelberg, Germany) coupled to a stereomicroscope, with an accuracy of 0.01 mm. Individual ring series were visually and statistically cross-dated with TSAP software (Rinntech, Heidelberg, Germany), using the statistics Gleichläufigkeit (GLK), t-value and the crossdating index (CDI). Validation of the croos-dating was done using COFECHA software</w:t>
      </w:r>
      <w:r>
        <w:t xml:space="preserve"> </w:t>
      </w:r>
      <w:r>
        <w:t xml:space="preserve">(Holmes 1983)</w:t>
      </w:r>
      <w:r>
        <w:t xml:space="preserve">.</w:t>
      </w:r>
    </w:p>
    <w:p>
      <w:pPr>
        <w:pStyle w:val="Ttulo2"/>
      </w:pPr>
      <w:bookmarkStart w:id="37" w:name="dendrochronological-methods"/>
      <w:bookmarkEnd w:id="37"/>
      <w:r>
        <w:t xml:space="preserve">Dendrochronological methods</w:t>
      </w:r>
    </w:p>
    <w:p>
      <w:pPr>
        <w:pStyle w:val="Compact"/>
        <w:numPr>
          <w:numId w:val="1013"/>
          <w:ilvl w:val="0"/>
        </w:numPr>
      </w:pPr>
      <w:r>
        <w:t xml:space="preserve">incluir citas a Frits; Cooks ...</w:t>
      </w:r>
    </w:p>
    <w:p>
      <w:pPr>
        <w:pStyle w:val="Compact"/>
        <w:numPr>
          <w:numId w:val="1013"/>
          <w:ilvl w:val="0"/>
        </w:numPr>
      </w:pPr>
      <w:r>
        <w:t xml:space="preserve">site cronologies</w:t>
      </w:r>
    </w:p>
    <w:p>
      <w:pPr>
        <w:pStyle w:val="Compact"/>
        <w:numPr>
          <w:numId w:val="1013"/>
          <w:ilvl w:val="0"/>
        </w:numPr>
      </w:pPr>
      <w:r>
        <w:t xml:space="preserve">BAI</w:t>
      </w:r>
    </w:p>
    <w:p>
      <w:pPr>
        <w:pStyle w:val="Compact"/>
        <w:numPr>
          <w:numId w:val="1013"/>
          <w:ilvl w:val="0"/>
        </w:numPr>
      </w:pPr>
      <w:r>
        <w:t xml:space="preserve">GC Nowacki??</w:t>
      </w:r>
    </w:p>
    <w:p>
      <w:pPr>
        <w:pStyle w:val="FirstParagraph"/>
      </w:pPr>
      <w:r>
        <w:t xml:space="preserve">Site chronologies were built by averaging all tree BAI measurement of the same site. To explore similarity within locality, each site chronology was smoothed using centred moving averages with different window sizes, and then Pearson's correlation coefficient between the two chronologies of the same locality (higher and lower elevation) were calculated. Significance was tested using 1000 boostrap replicates and with 95 % confidence intervals built using the R packgae</w:t>
      </w:r>
      <w:r>
        <w:t xml:space="preserve"> </w:t>
      </w:r>
      <w:r>
        <w:rPr>
          <w:rStyle w:val="VerbatimChar"/>
        </w:rPr>
        <w:t xml:space="preserve">boot</w:t>
      </w:r>
      <w:r>
        <w:t xml:space="preserve"> </w:t>
      </w:r>
      <w:r>
        <w:t xml:space="preserve">(Canty and Ripley 2016)</w:t>
      </w:r>
    </w:p>
    <w:p>
      <w:pPr>
        <w:pStyle w:val="Ttulo2"/>
      </w:pPr>
      <w:bookmarkStart w:id="38" w:name="resilience"/>
      <w:bookmarkEnd w:id="38"/>
      <w:r>
        <w:t xml:space="preserve">Resilience</w:t>
      </w:r>
    </w:p>
    <w:p>
      <w:pPr>
        <w:pStyle w:val="FirstParagraph"/>
      </w:pPr>
      <w:r>
        <w:t xml:space="preserve">To evaluate the effects of the disturbance events on greeennes and tree growth we used four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recovery (</w:t>
      </w:r>
      <w:r>
        <w:rPr>
          <w:i/>
        </w:rPr>
        <w:t xml:space="preserve">Rc</w:t>
      </w:r>
      <w:r>
        <w:t xml:space="preserve">) and relative resilience (</w:t>
      </w:r>
      <w:r>
        <w:rPr>
          <w:i/>
        </w:rPr>
        <w:t xml:space="preserve">RRs</w:t>
      </w:r>
      <w:r>
        <w:t xml:space="preserve">).</w:t>
      </w:r>
    </w:p>
    <w:p>
      <w:pPr>
        <w:pStyle w:val="Textodecuerpo"/>
      </w:pPr>
      <w:r>
        <w:t xml:space="preserve">The resistance index (</w:t>
      </w:r>
      <w:r>
        <w:rPr>
          <w:i/>
        </w:rPr>
        <w:t xml:space="preserve">Rt</w:t>
      </w:r>
      <w:r>
        <w:t xml:space="preserve">) quantifies the severity of the impact of the disturbance in the year it occurred. It is estimated as the ratio between the performance during and befor the disturbance:</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Relative Resilience (</w:t>
      </w:r>
      <w:r>
        <w:rPr>
          <w:i/>
        </w:rPr>
        <w:t xml:space="preserve">RRs</w:t>
      </w:r>
      <w:r>
        <w:t xml:space="preserve">) is the resilience weighted by the severity of the disturbance, and it is estimated as:</w:t>
      </w:r>
    </w:p>
    <w:p>
      <w:pPr>
        <w:pStyle w:val="Textodecuerpo"/>
      </w:pPr>
      <w:r>
        <w:t xml:space="preserve">Relative Resilience (</w:t>
      </w:r>
      <w:r>
        <w:rPr>
          <w:i/>
        </w:rPr>
        <w:t xml:space="preserve">RRs</w:t>
      </w:r>
      <w:r>
        <w:t xml:space="preserve">) = (Postdrought - Drought) / Predrought</w:t>
      </w:r>
    </w:p>
    <w:p>
      <w:pPr>
        <w:pStyle w:val="Textodecuerpo"/>
      </w:pPr>
      <w:r>
        <w:t xml:space="preserve">We computed the values of these indices for tree growth and greenness during each drought event. We considered 2005 and 2012 as singles drought events. The predrought and postdrought values of each target variable (i.e.: tree growth or EVI) we computed as the mean value during a period of three years before and after the disturbance events respectively. A period of three years was chosen because we found similar results comparing periods of two, three and four years (:red_circle: incluir tabla de coeficientes y/o gráfica?? como suplement, see Gazol 2017)</w:t>
      </w:r>
    </w:p>
    <w:p>
      <w:pPr>
        <w:pStyle w:val="Ttulo2"/>
      </w:pPr>
      <w:bookmarkStart w:id="39" w:name="statistical-analysis"/>
      <w:bookmarkEnd w:id="39"/>
      <w:r>
        <w:t xml:space="preserve">Statistical analysis</w:t>
      </w:r>
    </w:p>
    <w:p>
      <w:pPr>
        <w:pStyle w:val="Compact"/>
        <w:numPr>
          <w:numId w:val="1014"/>
          <w:ilvl w:val="0"/>
        </w:numPr>
      </w:pPr>
      <w:r>
        <w:t xml:space="preserve">Explore anomalies EVI</w:t>
      </w:r>
    </w:p>
    <w:p>
      <w:pPr>
        <w:pStyle w:val="Compact"/>
        <w:numPr>
          <w:numId w:val="1014"/>
          <w:ilvl w:val="0"/>
        </w:numPr>
      </w:pPr>
      <w:r>
        <w:t xml:space="preserve">Explore long and short term trends in RW :red_circle: ver correo Guillermo</w:t>
      </w:r>
    </w:p>
    <w:p>
      <w:pPr>
        <w:pStyle w:val="Compact"/>
        <w:numPr>
          <w:numId w:val="1014"/>
          <w:ilvl w:val="0"/>
        </w:numPr>
      </w:pPr>
      <w:r>
        <w:t xml:space="preserve">ANOVA analysis EVI events and populations</w:t>
      </w:r>
    </w:p>
    <w:p>
      <w:pPr>
        <w:pStyle w:val="FirstParagraph"/>
      </w:pPr>
      <w:r>
        <w:t xml:space="preserve">We tested for significant differences between drought events (2005 and 2012) and oak population (northern and southern slopes) for each of the resilience indices. Robust two-way ANOVAs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w:t>
      </w:r>
      <w:r>
        <w:t xml:space="preserve"> </w:t>
      </w:r>
      <w:r>
        <w:t xml:space="preserve">Wilcox (2012)</w:t>
      </w:r>
      <w:r>
        <w:t xml:space="preserve">)</w:t>
      </w:r>
      <w:r>
        <w:t xml:space="preserve">. Post-hoc differences were assessed pairwise using a similar boostrap test. All the robust ANOVA and post-hoc tests were carried out using the WRS2</w:t>
      </w:r>
      <w:r>
        <w:t xml:space="preserve"> </w:t>
      </w:r>
      <w:r>
        <w:t xml:space="preserve">(Mair et al. 2017)</w:t>
      </w:r>
      <w:r>
        <w:t xml:space="preserve"> </w:t>
      </w:r>
      <w:r>
        <w:t xml:space="preserve">and rcompanion</w:t>
      </w:r>
      <w:r>
        <w:t xml:space="preserve"> </w:t>
      </w:r>
      <w:r>
        <w:t xml:space="preserve">(Mangiafico 2017)</w:t>
      </w:r>
      <w:r>
        <w:t xml:space="preserve"> </w:t>
      </w:r>
      <w:r>
        <w:t xml:space="preserve">R packages. The level of significance was set at 0.05 and adjusted for multiple comparisons.</w:t>
      </w:r>
    </w:p>
    <w:p>
      <w:pPr>
        <w:pStyle w:val="Ttulo2"/>
      </w:pPr>
      <w:bookmarkStart w:id="40" w:name="references-1"/>
      <w:bookmarkEnd w:id="40"/>
      <w:r>
        <w:t xml:space="preserve">References</w:t>
      </w:r>
    </w:p>
    <w:p>
      <w:pPr>
        <w:pStyle w:val="Ttulo1"/>
      </w:pPr>
      <w:bookmarkStart w:id="41" w:name="results"/>
      <w:bookmarkEnd w:id="41"/>
      <w:r>
        <w:t xml:space="preserve">Results</w:t>
      </w:r>
    </w:p>
    <w:p>
      <w:pPr>
        <w:pStyle w:val="Ttulo2"/>
      </w:pPr>
      <w:bookmarkStart w:id="42" w:name="vegetation-greenness"/>
      <w:bookmarkEnd w:id="42"/>
      <w:r>
        <w:t xml:space="preserve">Vegetation Greenness</w:t>
      </w:r>
    </w:p>
    <w:p>
      <w:pPr>
        <w:pStyle w:val="FirstParagraph"/>
      </w:pPr>
      <w:r>
        <w:t xml:space="preserve">referencia a las tendencias en EVI (lo hemos vuelto a calcular y además en el trabajo de ontologías también nos sale)</w:t>
      </w:r>
    </w:p>
    <w:p>
      <w:pPr>
        <w:pStyle w:val="Textodecuerpo"/>
      </w:pPr>
      <w:r>
        <w:t xml:space="preserve">Standardized a</w:t>
      </w:r>
    </w:p>
    <w:p>
      <w:pPr>
        <w:pStyle w:val="Textodecuerpo"/>
      </w:pPr>
      <w:r>
        <w:t xml:space="preserve">Cuando exploramos las anomalías (brutas, estandarizadas y normalizadas) observamos valores muy negativos para el año 2005. Sin embargo vemos valores menos negativos para 2005. Tukey posthoc testing (lsmeans package CITAR) was conducted for pairwise comparisons among the slopes and the disturbance years</w:t>
      </w:r>
    </w:p>
    <w:p>
      <w:pPr>
        <w:pStyle w:val="Textodecuerpo"/>
      </w:pPr>
      <w:r>
        <w:t xml:space="preserve">Las anomalías (sa) fueron significativamente menores en 2005 (-2.285 masmenos 0.029)que para 2012 (-0.418 masmenos 0.029), (LSMEANS, t.ratio = -45.358; p_value &lt; 0.0001)</w:t>
      </w:r>
    </w:p>
    <w:p>
      <w:pPr>
        <w:pStyle w:val="Textodecuerpo"/>
      </w:pPr>
      <w:r>
        <w:t xml:space="preserve">Vegetation greenness of</w:t>
      </w:r>
      <w:r>
        <w:t xml:space="preserve"> </w:t>
      </w:r>
      <w:r>
        <w:rPr>
          <w:i/>
        </w:rPr>
        <w:t xml:space="preserve">Quercus pyrenaica</w:t>
      </w:r>
      <w:r>
        <w:t xml:space="preserve"> </w:t>
      </w:r>
      <w:r>
        <w:t xml:space="preserve">forests were lower during the 2005 and 2012 year than the greenness observed for the reference period (:red_circle: Fig 1a EVI profile comparison), particu</w:t>
      </w:r>
    </w:p>
    <w:p>
      <w:pPr>
        <w:pStyle w:val="Textodecuerpo"/>
      </w:pPr>
      <w:r>
        <w:t xml:space="preserve">Del análisis de las anomalías observamos:</w:t>
      </w:r>
    </w:p>
    <w:p>
      <w:pPr>
        <w:pStyle w:val="Compact"/>
        <w:numPr>
          <w:numId w:val="1015"/>
          <w:ilvl w:val="0"/>
        </w:numPr>
      </w:pPr>
      <w:r>
        <w:t xml:space="preserve">En 2005 y en 2012 las anomalías fueron negativas.</w:t>
      </w:r>
    </w:p>
    <w:p>
      <w:pPr>
        <w:numPr>
          <w:numId w:val="1015"/>
          <w:ilvl w:val="0"/>
        </w:numPr>
      </w:pPr>
      <w:r>
        <w:t xml:space="preserve">2005 las anomalías fueron mucho mas negativas que para 2012.</w:t>
      </w:r>
    </w:p>
    <w:p>
      <w:pPr>
        <w:numPr>
          <w:numId w:val="1015"/>
          <w:ilvl w:val="0"/>
        </w:numPr>
      </w:pPr>
      <w:r>
        <w:t xml:space="preserve">Analizar magnitud de las anomalías para 2005 y 2012 (comparación entre ellas y entre NyS):</w:t>
      </w:r>
    </w:p>
    <w:p>
      <w:pPr>
        <w:pStyle w:val="FirstParagraph"/>
      </w:pPr>
      <w:r>
        <w:t xml:space="preserve">Reduction in annual EVI mean was considerably higher in northern populations than in southern ones during the 2005 drought.</w:t>
      </w:r>
    </w:p>
    <w:p>
      <w:pPr>
        <w:numPr>
          <w:numId w:val="1016"/>
          <w:ilvl w:val="0"/>
        </w:numPr>
      </w:pPr>
      <w:r>
        <w:t xml:space="preserve">2005 fue el año en el que las anomalías fueron mas negativas, siendo de las anomalías de mas magnitud negativa en las poblaciones del norte.</w:t>
      </w:r>
    </w:p>
    <w:p>
      <w:pPr>
        <w:numPr>
          <w:numId w:val="1016"/>
          <w:ilvl w:val="0"/>
        </w:numPr>
      </w:pPr>
      <w:r>
        <w:t xml:space="preserve">Si atendemos a las sa (standardized anomalíes) y aplicamos el criterio de Gao, podemos decir que en 2005 se observó un bronwing en los bosques de Q. pyrenaica, sobre todo en las situadas en el northern slopes.</w:t>
      </w:r>
    </w:p>
    <w:p>
      <w:pPr>
        <w:numPr>
          <w:numId w:val="1016"/>
          <w:ilvl w:val="0"/>
        </w:numPr>
      </w:pPr>
      <w:r>
        <w:t xml:space="preserve">Asimismo, las anomalías 2012 fueron negativas pero</w:t>
      </w:r>
    </w:p>
    <w:p>
      <w:pPr>
        <w:pStyle w:val="Ttulo2"/>
      </w:pPr>
      <w:bookmarkStart w:id="43" w:name="resiliencia-evi"/>
      <w:bookmarkEnd w:id="43"/>
      <w:r>
        <w:t xml:space="preserve">Resiliencia EVI</w:t>
      </w:r>
    </w:p>
    <w:p>
      <w:pPr>
        <w:numPr>
          <w:numId w:val="1017"/>
          <w:ilvl w:val="0"/>
        </w:numPr>
      </w:pPr>
      <w:r>
        <w:t xml:space="preserve">Resistencia</w:t>
      </w:r>
    </w:p>
    <w:p>
      <w:pPr>
        <w:pStyle w:val="Compact"/>
        <w:numPr>
          <w:numId w:val="1018"/>
          <w:ilvl w:val="1"/>
        </w:numPr>
      </w:pPr>
      <w:r>
        <w:t xml:space="preserve">Los robledales mostraron menor resistencia a la sequía de 2005 que a la de 2012 [2005: 0.858 (0.853-0.863); 2012: 0.943 (0.939 - 0.947); p &lt;0.0001]</w:t>
      </w:r>
    </w:p>
    <w:p>
      <w:pPr>
        <w:pStyle w:val="Compact"/>
        <w:numPr>
          <w:numId w:val="1018"/>
          <w:ilvl w:val="1"/>
        </w:numPr>
      </w:pPr>
      <w:r>
        <w:t xml:space="preserve">Menor resistencia de las poblaciones del Norte a los eventos de sequía que las del Sur [N: 0.883 (0.877-0.889); S: 0.921 (0.918 - 0.925); p &lt;0.0001]</w:t>
      </w:r>
    </w:p>
    <w:p>
      <w:pPr>
        <w:pStyle w:val="Compact"/>
        <w:numPr>
          <w:numId w:val="1018"/>
          <w:ilvl w:val="1"/>
        </w:numPr>
      </w:pPr>
      <w:r>
        <w:t xml:space="preserve">La resistencia varió en función de la sequía y de la población. Las poblaciones mostraron una resistencia similar al evento de sequía de 2012 (padj = 0.172), sin embargo las poblaciones del N fueron mucho menos resistentes que las del Sur durante la sequía de 2005 [N: 0.819 (0.814-0.824); S: 0.902 (0.896 - 0.907); p &lt;0.0001]</w:t>
      </w:r>
    </w:p>
    <w:p>
      <w:pPr>
        <w:numPr>
          <w:numId w:val="1017"/>
          <w:ilvl w:val="0"/>
        </w:numPr>
      </w:pPr>
      <w:r>
        <w:t xml:space="preserve">Recovery</w:t>
      </w:r>
    </w:p>
    <w:p>
      <w:pPr>
        <w:pStyle w:val="Compact"/>
        <w:numPr>
          <w:numId w:val="1019"/>
          <w:ilvl w:val="1"/>
        </w:numPr>
      </w:pPr>
      <w:r>
        <w:t xml:space="preserve">La recuperación de los robledales fue mayor tras la sequía de 2005 que tras la de 2012 [2005: 1.120 (1.113-1.126); 2012: 1.057 (1.054 - 1.060); p &lt;0.0001]</w:t>
      </w:r>
    </w:p>
    <w:p>
      <w:pPr>
        <w:pStyle w:val="Compact"/>
        <w:numPr>
          <w:numId w:val="1019"/>
          <w:ilvl w:val="1"/>
        </w:numPr>
      </w:pPr>
      <w:r>
        <w:t xml:space="preserve">Los robledales de la cara sur mostraron una menor recuperación que los de la cara norte [N: 1.102 (1.096-1.108); S: 1.069 (1.065 - 1.073); p &lt;0.0001]</w:t>
      </w:r>
    </w:p>
    <w:p>
      <w:pPr>
        <w:pStyle w:val="Compact"/>
        <w:numPr>
          <w:numId w:val="1019"/>
          <w:ilvl w:val="1"/>
        </w:numPr>
      </w:pPr>
      <w:r>
        <w:t xml:space="preserve">Las poblaciones del sur mostraron una recuperación similar ante la sequía de 2005 y 2012 (p = 0.186), cosa que no ocurrió para las poblaciones N (p &lt; 0.0001), que mostró una recuperación mayor para la sequía de 2005 que para la de 2012 [2005: 1.169 (1.161-1.177); 2012: 1.042 (1.036 - 1.047); p &lt;0.0001]. En 2005, las poblaciones del S mostraron menor recuperación; mientras que en 2012 ocurrión un patrón inverso, mostrando un patron mayor que las del norte.</w:t>
      </w:r>
    </w:p>
    <w:p>
      <w:pPr>
        <w:numPr>
          <w:numId w:val="1017"/>
          <w:ilvl w:val="0"/>
        </w:numPr>
      </w:pPr>
      <w:r>
        <w:t xml:space="preserve">Resilience</w:t>
      </w:r>
    </w:p>
    <w:p>
      <w:pPr>
        <w:pStyle w:val="Compact"/>
        <w:numPr>
          <w:numId w:val="1020"/>
          <w:ilvl w:val="1"/>
        </w:numPr>
      </w:pPr>
      <w:r>
        <w:t xml:space="preserve">La resiliencia de los robledales fue mayor para la sequía de 2012 que para la de 2005 [2005: 0.958 (0.955-0.962); 2012: 0.995 (0.991 - 0.998); p &lt;0.0001]</w:t>
      </w:r>
      <w:r>
        <w:br w:type="textWrapping"/>
      </w:r>
    </w:p>
    <w:p>
      <w:pPr>
        <w:pStyle w:val="Compact"/>
        <w:numPr>
          <w:numId w:val="1020"/>
          <w:ilvl w:val="1"/>
        </w:numPr>
      </w:pPr>
      <w:r>
        <w:t xml:space="preserve">Los robledales del sur mostraron mayor resiliencia que los del norte [N: 0.970 (0.966-0.974); S: 0.983 (0.980 - 0.986); p &lt;0.0001], aunque para 2005 ambas poblaciones no mostraron diferencias en la resiliencia (padj = 0.152). En 2012 se observó mayor resiliencia en las del S que en la del N (p&lt;0.0001)</w:t>
      </w:r>
    </w:p>
    <w:p>
      <w:pPr>
        <w:numPr>
          <w:numId w:val="1017"/>
          <w:ilvl w:val="0"/>
        </w:numPr>
      </w:pPr>
      <w:r>
        <w:t xml:space="preserve">Relative Resilience</w:t>
      </w:r>
    </w:p>
    <w:p>
      <w:pPr>
        <w:pStyle w:val="Compact"/>
        <w:numPr>
          <w:numId w:val="1017"/>
          <w:ilvl w:val="0"/>
        </w:numPr>
      </w:pPr>
      <w:r>
        <w:t xml:space="preserve">Los robledales mostraron mayor resiliencia relativa a la sequía de 2005 que a la de 2012 [2005: 0.099 (0.095-0.105); 2012: 0.053 (0.050 - 0.056); p &lt;0.0001]</w:t>
      </w:r>
      <w:r>
        <w:br w:type="textWrapping"/>
      </w:r>
    </w:p>
    <w:p>
      <w:pPr>
        <w:pStyle w:val="Compact"/>
        <w:numPr>
          <w:numId w:val="1017"/>
          <w:ilvl w:val="0"/>
        </w:numPr>
      </w:pPr>
      <w:r>
        <w:t xml:space="preserve">Las poblaciones del sur mostraron menor resiliencia relativa que las del norte [N: 0.086 (0.082-0.092); S: 0.063 (0.060 - 0.066); p &lt;0.0001], debido sobre todo a la diferencia en la resiliencia relativa para las poblaciones del norte entre los dos eventos de sequía (mucha mayor resiliencia relativa en 2012 que en 2005 para las poblaciones del N)</w:t>
      </w:r>
    </w:p>
    <w:p>
      <w:pPr>
        <w:numPr>
          <w:numId w:val="1017"/>
          <w:ilvl w:val="0"/>
        </w:numPr>
      </w:pPr>
      <w:r>
        <w:t xml:space="preserve">Las poblaciones del sur no mostraron diferencias en cuanto a la resiliencia relativa entre los dos eventos de sequía (padj = 0.152)</w:t>
      </w:r>
    </w:p>
    <w:p>
      <w:pPr>
        <w:pStyle w:val="Ttulo2"/>
      </w:pPr>
      <w:bookmarkStart w:id="44" w:name="resiliencia-bai"/>
      <w:bookmarkEnd w:id="44"/>
      <w:r>
        <w:t xml:space="preserve">Resiliencia BAI</w:t>
      </w:r>
    </w:p>
    <w:p>
      <w:pPr>
        <w:pStyle w:val="Compact"/>
        <w:numPr>
          <w:numId w:val="1021"/>
          <w:ilvl w:val="0"/>
        </w:numPr>
      </w:pPr>
      <w:r>
        <w:t xml:space="preserve">Resistance:</w:t>
      </w:r>
    </w:p>
    <w:p>
      <w:pPr>
        <w:pStyle w:val="Compact"/>
        <w:numPr>
          <w:numId w:val="1021"/>
          <w:ilvl w:val="0"/>
        </w:numPr>
      </w:pPr>
      <w:r>
        <w:t xml:space="preserve">No diferencias significativas entre la resistencia mostrada por los robledales a los eventos de sequía de 2005 y 2012. Valores de resistencia menor al evento de 2005. [2005: 0.721 (0.6437-0.7984); 2012: 0.8193 (0.7758 - 0.8628); p = 0.03]</w:t>
      </w:r>
    </w:p>
    <w:p>
      <w:pPr>
        <w:pStyle w:val="Compact"/>
        <w:numPr>
          <w:numId w:val="1021"/>
          <w:ilvl w:val="0"/>
        </w:numPr>
      </w:pPr>
      <w:r>
        <w:t xml:space="preserve">Diferentes resistencias a los eventos de sequía en función del sitio (p &lt;0.0001). Las localidades del sur (CaLow y CAHigh no mostraron diferencias en cuanto a la resistencia p.adjust = 0.012) mostraron una resistencia mayor a los eventos de sequía que la observada a la localidad del norte [caH: 0.8157 (0.7549 - 0.8764) (a); caL: 0.9209 (0.8834 - 0.9584) (a); SJ: 0.6116 (0.5387 - 0.6846) (b)].</w:t>
      </w:r>
    </w:p>
    <w:p>
      <w:pPr>
        <w:numPr>
          <w:numId w:val="1021"/>
          <w:ilvl w:val="0"/>
        </w:numPr>
      </w:pPr>
      <w:r>
        <w:t xml:space="preserve">La interacción también fue significativa. De hecho, si miramos las gráfica, observamos como la resistencia a la sequía de 2005 fue significativamente menor en SJ que la resistancia mostrada, tanto por las otras poblaciones para 2005, como la mostrada por SJ para el año 2012 --¿¿¿ Podemos decir que la sequía de 2005 afectó mucho mas a la población de SJ???</w:t>
      </w:r>
    </w:p>
    <w:p>
      <w:pPr>
        <w:pStyle w:val="Compact"/>
        <w:numPr>
          <w:numId w:val="1021"/>
          <w:ilvl w:val="0"/>
        </w:numPr>
      </w:pPr>
      <w:r>
        <w:t xml:space="preserve">Recovery</w:t>
      </w:r>
    </w:p>
    <w:p>
      <w:pPr>
        <w:pStyle w:val="Compact"/>
        <w:numPr>
          <w:numId w:val="1022"/>
          <w:ilvl w:val="1"/>
        </w:numPr>
      </w:pPr>
      <w:r>
        <w:t xml:space="preserve">En general mayor recuperación para el evento de 2012 que para el evento de 2005 [2005: 0.9462 (0.8794-1.013); 2012: 1.161 (1.081 - 1.24); p &lt; 0.001]</w:t>
      </w:r>
    </w:p>
    <w:p>
      <w:pPr>
        <w:pStyle w:val="Ttulo2"/>
      </w:pPr>
      <w:bookmarkStart w:id="45" w:name="references-2"/>
      <w:bookmarkEnd w:id="45"/>
      <w:r>
        <w:t xml:space="preserve">References</w:t>
      </w:r>
    </w:p>
    <w:p>
      <w:pPr>
        <w:pStyle w:val="Ttulo1"/>
      </w:pPr>
      <w:bookmarkStart w:id="46" w:name="discussions-notes"/>
      <w:bookmarkEnd w:id="46"/>
      <w:r>
        <w:t xml:space="preserve">Discussions notes</w:t>
      </w:r>
    </w:p>
    <w:p>
      <w:pPr>
        <w:pStyle w:val="Ttulo2"/>
      </w:pPr>
      <w:bookmarkStart w:id="47" w:name="dos-cronos-en-canar"/>
      <w:bookmarkEnd w:id="47"/>
      <w:r>
        <w:t xml:space="preserve"> Dos cronos en Cañar</w:t>
      </w:r>
    </w:p>
    <w:p>
      <w:pPr>
        <w:pStyle w:val="Compact"/>
        <w:numPr>
          <w:numId w:val="1023"/>
          <w:ilvl w:val="0"/>
        </w:numPr>
      </w:pPr>
      <w:r>
        <w:t xml:space="preserve">Gea-Izquierdo and Cañellas (2014)</w:t>
      </w:r>
      <w:r>
        <w:t xml:space="preserve"> </w:t>
      </w:r>
      <w:r>
        <w:t xml:space="preserve">muestrea solo en CA-Low (QUPY10) y obtiene resultados similares a CA-Low.</w:t>
      </w:r>
    </w:p>
    <w:p>
      <w:pPr>
        <w:pStyle w:val="Compact"/>
        <w:numPr>
          <w:numId w:val="1023"/>
          <w:ilvl w:val="0"/>
        </w:numPr>
      </w:pPr>
      <w:r>
        <w:t xml:space="preserve">En tan poco espacio hay diferencias enormes entre las dos cronos</w:t>
      </w:r>
    </w:p>
    <w:p>
      <w:pPr>
        <w:pStyle w:val="Compact"/>
        <w:numPr>
          <w:numId w:val="1023"/>
          <w:ilvl w:val="0"/>
        </w:numPr>
      </w:pPr>
      <w:r>
        <w:rPr>
          <w:i/>
        </w:rPr>
        <w:t xml:space="preserve">Las tendencias de BAI de Cáñar baja altitud son diferentes a las del norte, las cuales se parecen mucho a las que suelen encontrarse en la mayoría de sitios. Puedes mirar por ejemplo las tendencias de las líneas negras (de más de 100 años, sobre todo) en la Fig 2 del artículo de Ecosystems… fíjate que QUPY3 se parece más a QUPY10… y QUPY3 era la única dehesa (en parte) y uno de los sitios más secos (por otro lado, aunque frío). En fin, todo esto es algo especulativo, pero sirva como exploración de tus cronos, y para mostrar que me parece muy interesante la diferencia entre Cáñar alto y bajo (y nuevo).</w:t>
      </w:r>
    </w:p>
    <w:p>
      <w:pPr>
        <w:pStyle w:val="Ttulo2"/>
      </w:pPr>
      <w:bookmarkStart w:id="48" w:name="references-3"/>
      <w:bookmarkEnd w:id="48"/>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Canty, A., and B. D. Ripley. 2016. Boot: Bootstrap r (s-plus) functions.</w:t>
      </w:r>
    </w:p>
    <w:p>
      <w:pPr>
        <w:pStyle w:val="Bibliografa"/>
      </w:pPr>
      <w:r>
        <w:t xml:space="preserve">Didan, K. 2015. MOD13Q1 MODIS/Terra Vegetation Indices 16-Day L3 Global 250m SIN Grid V006. NASA EOSDIS Land Processes DAAC.</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Serna, B. V. de la. 2014. Comprehensive study of “quercus pyrenaica” willd. forests at iberian peninsula: Indicator species, bioclimatic, and syntaxonomical characteristics. PhD thesis, Complutense University of Madrid, Madrid.</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Wilcox, R. 2012. Introduction to robust estimation and hypothesis testing (third edition). Page 608. Third Edition. Academic Press.</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37ab2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6261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_rels/footnotes.xml.rels><?xml version="1.0" encoding="UTF-8"?>
<Relationships xmlns="http://schemas.openxmlformats.org/package/2006/relationships"><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2017-11-06T14:31:48Z</dcterms:created>
  <dcterms:modified xsi:type="dcterms:W3CDTF">2017-11-06T14:31:48Z</dcterms:modified>
</cp:coreProperties>
</file>