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(BA), Density and SRD (Size ratio proportional to distance) are computed for all trees within a 10-m radius of focal trees (see methods). Temp.: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p&lt;0.05).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36"/>
        <w:gridCol w:w="504"/>
        <w:gridCol w:w="504"/>
        <w:gridCol w:w="1187"/>
        <w:gridCol w:w="862"/>
        <w:gridCol w:w="864"/>
        <w:gridCol w:w="864"/>
        <w:gridCol w:w="864"/>
        <w:gridCol w:w="901"/>
        <w:gridCol w:w="973"/>
        <w:gridCol w:w="1054"/>
        <w:gridCol w:w="1098"/>
        <w:gridCol w:w="1196"/>
        <w:gridCol w:w="1056"/>
        <w:gridCol w:w="1525"/>
        <w:gridCol w:w="901"/>
      </w:tblGrid>
      <w:tr>
        <w:trPr>
          <w:cantSplit/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>Cored trees</w:t>
            </w:r>
          </w:p>
        </w:tc>
        <w:tc>
          <w:tcPr>
            <w:gridSpan w:val="5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>Competence</w:t>
            </w:r>
          </w:p>
        </w:tc>
      </w:tr>
      <w:tr>
        <w:trPr>
          <w:cantSplit/>
          <w:trHeight w:val="401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Lat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Long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Elevation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Slope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Prec.</w:t>
              <w:br/>
              <w:t xml:space="preserve">(mm)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Temp.</w:t>
              <w:br/>
              <w:t xml:space="preserve">(° 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# trees</w:t>
              <w:br/>
              <w:t xml:space="preserve">(# cores)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Dbh (cm)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Height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Age</w:t>
              <w:br/>
              <w:t xml:space="preserve">(years)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Dbh all</w:t>
              <w:br/>
              <w:t xml:space="preserve">(cm)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Height all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BA</w:t>
              <w:br/>
              <w:t xml:space="preserve">(m2/ha)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Density</w:t>
              <w:br/>
              <w:t xml:space="preserve">(trees/ha)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SRD</w:t>
            </w:r>
          </w:p>
        </w:tc>
      </w:tr>
      <w:tr>
        <w:trPr>
          <w:cantSplit/>
          <w:trHeight w:val="382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CA-High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36.97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1846 - 1884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12.11 (3.28)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6.4 - 17.1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 (30)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69.8 (20.5)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15.4 (1.8)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161.0 (32.2)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34.1 (24.3)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10.8 (4.4)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39.13 (24.31)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348.0 (147.1)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0.91 (0.63) a</w:t>
            </w:r>
          </w:p>
        </w:tc>
      </w:tr>
      <w:tr>
        <w:trPr>
          <w:cantSplit/>
          <w:trHeight w:val="38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CA-Low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36.96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1691 - 1751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12.86 (2.98)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6.4 - 17.1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15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45.9 (8.6) 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12.6 (1.6)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148.5 (16.5)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21.7 (14.4)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 (2.8)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18.02 (7.11) 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409.6 (226.0) 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0.89 (0.44) a</w:t>
            </w:r>
          </w:p>
        </w:tc>
      </w:tr>
      <w:tr>
        <w:trPr>
          <w:cantSplit/>
          <w:trHeight w:val="382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SJ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37.13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-3.37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1322 - 1474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27.33 (5.59)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7.4 - 16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20 (48)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31.9 (3.7)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11.8 (2.3)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72.6 (11.1)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20.6 (8.1)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9.7 (3.6) ab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11.64 (5.47)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339.0 (130.3) 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1.11 (0.52) a</w:t>
            </w:r>
          </w:p>
        </w:tc>
      </w:tr>
    </w:tbl>
    <w:p>
      <w:pPr>
        <w:pStyle w:val="Ttulo4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Table 2.</w:t>
      </w:r>
      <w:r>
        <w:t xml:space="preserve"> </w:t>
      </w:r>
      <w:r>
        <w:t xml:space="preserve">Characteristics of the mean tree ring chronologies. Values of the length year in parenthesis indicate years replicated more with than five series. RW = mean annual ring width (standard deviation in parenthesis). MS = mean sensitivity. AR(1) = mean autocorrelation of raw series. Rbt = mean correlation between series. EPS = mean expressed population signal. EPS and Rbt are calculated for the mean residual chronologies of growth indices.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87"/>
        <w:gridCol w:w="1007"/>
        <w:gridCol w:w="985"/>
        <w:gridCol w:w="752"/>
        <w:gridCol w:w="807"/>
        <w:gridCol w:w="1177"/>
        <w:gridCol w:w="557"/>
        <w:gridCol w:w="640"/>
        <w:gridCol w:w="557"/>
        <w:gridCol w:w="557"/>
      </w:tblGrid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First 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Last 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 trees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 cores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RW (mm)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AR(1)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Rbt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EPS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CA-Low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1.253 (0.781)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0.563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0.897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CA-High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1.500 (0.879)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0.513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0.907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SJ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1.725 (1.207)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0.797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0.959</w:t>
            </w:r>
          </w:p>
        </w:tc>
      </w:tr>
    </w:tbl>
    <w:p>
      <w:pPr>
        <w:pStyle w:val="Ttulo4"/>
      </w:pPr>
      <w:bookmarkStart w:id="21" w:name="section-1"/>
      <w:bookmarkEnd w:id="21"/>
    </w:p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two factors drought events (in 2005 and 2012) and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51"/>
        <w:gridCol w:w="2880"/>
        <w:gridCol w:w="251"/>
        <w:gridCol w:w="974"/>
        <w:gridCol w:w="751"/>
        <w:gridCol w:w="251"/>
        <w:gridCol w:w="974"/>
        <w:gridCol w:w="751"/>
        <w:gridCol w:w="251"/>
        <w:gridCol w:w="974"/>
        <w:gridCol w:w="751"/>
      </w:tblGrid>
      <w:tr>
        <w:trPr>
          <w:cantSplit/>
          <w:trHeight w:val="43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Resistance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Recovery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Resilience</w:t>
            </w:r>
          </w:p>
        </w:tc>
      </w:tr>
      <w:tr>
        <w:trPr>
          <w:cantSplit/>
          <w:trHeight w:val="86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43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EVI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Drought event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799.900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207.200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99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153.200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105.400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29.800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38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Drought event:Site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234.700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364.300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6.100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436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BAI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Drought event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29.500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44.300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99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59.300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53.100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cantSplit/>
          <w:trHeight w:val="438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Drought event:Site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32.200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4.400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Ttulo4"/>
      </w:pPr>
      <w:bookmarkStart w:id="22" w:name="section-2"/>
      <w:bookmarkEnd w:id="22"/>
    </w:p>
    <w:p>
      <w:pPr>
        <w:pStyle w:val="FirstParagraph"/>
      </w:pPr>
      <w:r>
        <w:rPr>
          <w:b/>
        </w:rPr>
        <w:t xml:space="preserve">Table S1.</w:t>
      </w:r>
      <w:r>
        <w:t xml:space="preserve"> </w:t>
      </w:r>
      <w:r>
        <w:t xml:space="preserve">Robust measures of central tendency of resilience indices for greenness (EVI) groupped by drought events, site and interaction. Measures of central tendency are M-estimators based on Huber’s Psi (see material and methods). 95 % confidence intervals using 3000 bootstrap are included in parentheses.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17"/>
        <w:gridCol w:w="107"/>
        <w:gridCol w:w="1156"/>
        <w:gridCol w:w="1156"/>
        <w:gridCol w:w="1156"/>
        <w:gridCol w:w="107"/>
        <w:gridCol w:w="1156"/>
        <w:gridCol w:w="1156"/>
        <w:gridCol w:w="1156"/>
        <w:gridCol w:w="107"/>
        <w:gridCol w:w="1156"/>
        <w:gridCol w:w="1156"/>
        <w:gridCol w:w="1156"/>
      </w:tblGrid>
      <w:tr>
        <w:trPr>
          <w:cantSplit/>
          <w:trHeight w:val="238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Oak populations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</w:tr>
      <w:tr>
        <w:trPr>
          <w:cantSplit/>
          <w:trHeight w:val="25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Northern slope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0.986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(0.814 - 0.824)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(1.161 - 1.177)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(0.951 - 0.960)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(0.942 - 0.952)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(1.036 - 1.047)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(0.980 - 0.990)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(0.878 - 0.889)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(1.096 - 1.108)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(0.967 - 0.974)</w:t>
            </w:r>
          </w:p>
        </w:tc>
      </w:tr>
      <w:tr>
        <w:trPr>
          <w:cantSplit/>
          <w:trHeight w:val="255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Southern slope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0.902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1.066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0.962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0.939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1.071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1.004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0.921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1.069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0.983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(0.896 - 0.907)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(1.058 - 1.074)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(0.957 - 0.966)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(0.934 - 0.944)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(1.067 - 1.075)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(1.000 - 1.008)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(0.917 - 0.925)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(1.065 - 1.073)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(0.980 - 0.986)</w:t>
            </w:r>
          </w:p>
        </w:tc>
      </w:tr>
      <w:tr>
        <w:trPr>
          <w:cantSplit/>
          <w:trHeight w:val="224"/>
        </w:trPr>
        <w:tc>
          <w:tcPr>
            <w:vMerge w:val="restart"/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0.858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1.120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1.057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0.995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57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(0.854 - 0.863)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(1.113 - 1.126)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(0.955 - 0.962)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(0.940 - 0.947)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(1.054 - 1.060)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(0.991 - 0.998)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Ttulo4"/>
      </w:pPr>
      <w:bookmarkStart w:id="23" w:name="section-3"/>
      <w:bookmarkEnd w:id="23"/>
    </w:p>
    <w:p>
      <w:pPr>
        <w:pStyle w:val="FirstParagraph"/>
      </w:pPr>
      <w:r>
        <w:rPr>
          <w:b/>
        </w:rPr>
        <w:t xml:space="preserve">Table S2.</w:t>
      </w:r>
      <w:r>
        <w:t xml:space="preserve"> </w:t>
      </w:r>
      <w:r>
        <w:t xml:space="preserve">Robust measures of central tendency of resilience indices for tree-growth (BAI) groupped by drought events, site and interaction. Measures of central tendency are M-estimators based on Huber’s Psi (see material and methods). 95 % confidence intervals using 3000 bootstrap are included in parentheses.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11"/>
        <w:gridCol w:w="107"/>
        <w:gridCol w:w="1245"/>
        <w:gridCol w:w="1245"/>
        <w:gridCol w:w="1245"/>
        <w:gridCol w:w="107"/>
        <w:gridCol w:w="1245"/>
        <w:gridCol w:w="1245"/>
        <w:gridCol w:w="1245"/>
        <w:gridCol w:w="107"/>
        <w:gridCol w:w="1245"/>
        <w:gridCol w:w="1245"/>
        <w:gridCol w:w="1245"/>
      </w:tblGrid>
      <w:tr>
        <w:trPr>
          <w:cantSplit/>
          <w:trHeight w:val="238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</w:tr>
      <w:tr>
        <w:trPr>
          <w:cantSplit/>
          <w:trHeight w:val="225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SJ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0.445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0.489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1.446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1.031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0.612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1.282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0.769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( 0.375 -  0.516)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( 1.000 -  1.224)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( 0.421 -  0.556)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( 0.684 -  0.853)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( 1.322 -  1.569)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( 0.930 -  1.132)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( 0.539 -  0.685)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( 1.179 -  1.386)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( 0.652 -  0.886)</w:t>
            </w:r>
          </w:p>
        </w:tc>
      </w:tr>
      <w:tr>
        <w:trPr>
          <w:cantSplit/>
          <w:trHeight w:val="25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CA-High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0.892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0.887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0.790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0.753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1.107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0.813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0.996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0.798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( 0.809 -  0.975)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( 0.800 -  0.973)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( 0.691 -  0.888)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( 0.686 -  0.820)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( 1.026 -  1.188)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( 0.741 -  0.885)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( 0.755 -  0.876)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( 0.917 -  1.075)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( 0.744 -  0.851)</w:t>
            </w:r>
          </w:p>
        </w:tc>
      </w:tr>
      <w:tr>
        <w:trPr>
          <w:cantSplit/>
          <w:trHeight w:val="225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CA-Low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0.901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0.832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0.730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0.926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0.952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0.876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0.921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0.897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0.817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( 0.813 -  0.989)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( 0.733 -  0.932)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( 0.612 -  0.849)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( 0.900 -  0.953)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( 0.889 -  1.015)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( 0.839 -  0.913)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( 0.883 -  0.958)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( 0.843 -  0.951)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( 0.755 -  0.879)</w:t>
            </w:r>
          </w:p>
        </w:tc>
      </w:tr>
      <w:tr>
        <w:trPr>
          <w:cantSplit/>
          <w:trHeight w:val="224"/>
        </w:trPr>
        <w:tc>
          <w:tcPr>
            <w:vMerge w:val="restart"/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0.721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0.946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0.653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0.819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1.161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0.911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57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( 0.644 -  0.798)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( 0.879 -  1.013)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( 0.585 -  0.721)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( 0.776 -  0.863)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( 1.081 -  1.240)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( 0.865 -  0.957)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Ttulo4"/>
      </w:pPr>
      <w:bookmarkStart w:id="24" w:name="section-4"/>
      <w:bookmarkEnd w:id="24"/>
    </w:p>
    <w:p>
      <w:pPr>
        <w:pStyle w:val="Ttulo5"/>
      </w:pPr>
      <w:bookmarkStart w:id="25" w:name="section-5"/>
      <w:bookmarkEnd w:id="25"/>
    </w:p>
    <w:p>
      <w:pPr>
        <w:pStyle w:val="FirstParagraph"/>
      </w:pPr>
      <w:r>
        <w:rPr>
          <w:b/>
        </w:rPr>
        <w:t xml:space="preserve">Appendix S3.</w:t>
      </w:r>
      <w:r>
        <w:t xml:space="preserve"> </w:t>
      </w:r>
      <w:r>
        <w:t xml:space="preserve">Drought events for Sierra Nevada based on SPEI index (12 months scale). A drought event starts in the month when SPEI falls below the threshold of -1.28</w:t>
      </w:r>
      <w:r>
        <w:t xml:space="preserve"> </w:t>
      </w:r>
      <w:r>
        <w:t xml:space="preserve">(Páscoa et al. 2017)</w:t>
      </w:r>
      <w:r>
        <w:t xml:space="preserve">. A drought event is considered only when SPEI value are below threshold for at least two consecutive months</w:t>
      </w:r>
      <w:r>
        <w:t xml:space="preserve"> </w:t>
      </w:r>
      <w:r>
        <w:t xml:space="preserve">(</w:t>
      </w:r>
      <w:r>
        <w:rPr>
          <w:i/>
        </w:rPr>
        <w:t xml:space="preserve">e.g.</w:t>
      </w:r>
      <w:r>
        <w:t xml:space="preserve"> </w:t>
      </w:r>
      <w:r>
        <w:t xml:space="preserve">Spinoni et al. 2015, 2017, Páscoa et al. 2017)</w:t>
      </w:r>
      <w:r>
        <w:t xml:space="preserve">. The</w:t>
      </w:r>
      <w:r>
        <w:t xml:space="preserve"> </w:t>
      </w:r>
      <w:r>
        <w:rPr>
          <w:i/>
          <w:b/>
        </w:rPr>
        <w:t xml:space="preserve">duration</w:t>
      </w:r>
      <w:r>
        <w:t xml:space="preserve"> </w:t>
      </w:r>
      <w:r>
        <w:t xml:space="preserve">of a drought event is the number of consecutive months with the SPEI lower than a certain threshold.</w:t>
      </w:r>
      <w:r>
        <w:t xml:space="preserve"> </w:t>
      </w:r>
      <w:r>
        <w:rPr>
          <w:i/>
          <w:b/>
        </w:rPr>
        <w:t xml:space="preserve">Severity</w:t>
      </w:r>
      <w:r>
        <w:t xml:space="preserve"> </w:t>
      </w:r>
      <w:r>
        <w:t xml:space="preserve">of a drought event is the sum of the SPEI values (absolute values) during the duration of the drought event.</w:t>
      </w:r>
      <w:r>
        <w:t xml:space="preserve"> </w:t>
      </w:r>
      <w:r>
        <w:rPr>
          <w:i/>
          <w:b/>
        </w:rPr>
        <w:t xml:space="preserve">Intensity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Lowest SPEI</w:t>
      </w:r>
      <w:r>
        <w:t xml:space="preserve"> </w:t>
      </w:r>
      <w:r>
        <w:t xml:space="preserve">refer to the mean and lowest value of SPEI respectively during the drought event duration. SPEI data were obtained for all 0.5º grid cells covering Sierra Nevada.</w:t>
      </w:r>
    </w:p>
    <w:tbl>
      <w:tblPr>
        <w:tblStyle w:val="Table"/>
        <w:tblW w:type="pct" w:w="5000.0"/>
        <w:tblLook w:firstRow="1"/>
      </w:tblPr>
      <w:tblGrid>
        <w:gridCol w:w="2028"/>
        <w:gridCol w:w="1159"/>
        <w:gridCol w:w="1062"/>
        <w:gridCol w:w="1352"/>
        <w:gridCol w:w="1159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Duration (months)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Severity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Lowest SPEI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-1.581</w:t>
            </w:r>
          </w:p>
        </w:tc>
        <w:tc>
          <w:p>
            <w:pPr>
              <w:pStyle w:val="Compact"/>
              <w:jc w:val="center"/>
            </w:pPr>
            <w:r>
              <w:t xml:space="preserve">17.39</w:t>
            </w:r>
          </w:p>
        </w:tc>
        <w:tc>
          <w:p>
            <w:pPr>
              <w:pStyle w:val="Compact"/>
              <w:jc w:val="center"/>
            </w:pPr>
            <w:r>
              <w:t xml:space="preserve">-2.024</w:t>
            </w:r>
          </w:p>
        </w:tc>
        <w:tc>
          <w:p>
            <w:pPr>
              <w:pStyle w:val="Compact"/>
              <w:jc w:val="center"/>
            </w:pPr>
            <w:r>
              <w:t xml:space="preserve">Nov - Sep</w:t>
            </w:r>
          </w:p>
        </w:tc>
        <w:tc>
          <w:p>
            <w:pPr>
              <w:pStyle w:val="Compact"/>
              <w:jc w:val="center"/>
            </w:pPr>
            <w:r>
              <w:t xml:space="preserve">1913-1914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-1.957</w:t>
            </w:r>
          </w:p>
        </w:tc>
        <w:tc>
          <w:p>
            <w:pPr>
              <w:pStyle w:val="Compact"/>
              <w:jc w:val="center"/>
            </w:pPr>
            <w:r>
              <w:t xml:space="preserve">21.52</w:t>
            </w:r>
          </w:p>
        </w:tc>
        <w:tc>
          <w:p>
            <w:pPr>
              <w:pStyle w:val="Compact"/>
              <w:jc w:val="center"/>
            </w:pPr>
            <w:r>
              <w:t xml:space="preserve">-2.585</w:t>
            </w:r>
          </w:p>
        </w:tc>
        <w:tc>
          <w:p>
            <w:pPr>
              <w:pStyle w:val="Compact"/>
              <w:jc w:val="center"/>
            </w:pPr>
            <w:r>
              <w:t xml:space="preserve">Jan - Nov</w:t>
            </w:r>
          </w:p>
        </w:tc>
        <w:tc>
          <w:p>
            <w:pPr>
              <w:pStyle w:val="Compact"/>
              <w:jc w:val="center"/>
            </w:pPr>
            <w:r>
              <w:t xml:space="preserve">1995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-1.823</w:t>
            </w:r>
          </w:p>
        </w:tc>
        <w:tc>
          <w:p>
            <w:pPr>
              <w:pStyle w:val="Compact"/>
              <w:jc w:val="center"/>
            </w:pPr>
            <w:r>
              <w:t xml:space="preserve">16.41</w:t>
            </w:r>
          </w:p>
        </w:tc>
        <w:tc>
          <w:p>
            <w:pPr>
              <w:pStyle w:val="Compact"/>
              <w:jc w:val="center"/>
            </w:pPr>
            <w:r>
              <w:t xml:space="preserve">-2.427</w:t>
            </w:r>
          </w:p>
        </w:tc>
        <w:tc>
          <w:p>
            <w:pPr>
              <w:pStyle w:val="Compact"/>
              <w:jc w:val="center"/>
            </w:pPr>
            <w:r>
              <w:t xml:space="preserve">May - Jan</w:t>
            </w:r>
          </w:p>
        </w:tc>
        <w:tc>
          <w:p>
            <w:pPr>
              <w:pStyle w:val="Compact"/>
              <w:jc w:val="center"/>
            </w:pPr>
            <w:r>
              <w:t xml:space="preserve">1945-1946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-1.764</w:t>
            </w:r>
          </w:p>
        </w:tc>
        <w:tc>
          <w:p>
            <w:pPr>
              <w:pStyle w:val="Compact"/>
              <w:jc w:val="center"/>
            </w:pPr>
            <w:r>
              <w:t xml:space="preserve">15.88</w:t>
            </w:r>
          </w:p>
        </w:tc>
        <w:tc>
          <w:p>
            <w:pPr>
              <w:pStyle w:val="Compact"/>
              <w:jc w:val="center"/>
            </w:pPr>
            <w:r>
              <w:t xml:space="preserve">-2.056</w:t>
            </w:r>
          </w:p>
        </w:tc>
        <w:tc>
          <w:p>
            <w:pPr>
              <w:pStyle w:val="Compact"/>
              <w:jc w:val="center"/>
            </w:pPr>
            <w:r>
              <w:t xml:space="preserve">Dec - Aug</w:t>
            </w:r>
          </w:p>
        </w:tc>
        <w:tc>
          <w:p>
            <w:pPr>
              <w:pStyle w:val="Compact"/>
              <w:jc w:val="center"/>
            </w:pPr>
            <w:r>
              <w:t xml:space="preserve">1998-1999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-1.482</w:t>
            </w:r>
          </w:p>
        </w:tc>
        <w:tc>
          <w:p>
            <w:pPr>
              <w:pStyle w:val="Compact"/>
              <w:jc w:val="center"/>
            </w:pPr>
            <w:r>
              <w:t xml:space="preserve">11.86</w:t>
            </w:r>
          </w:p>
        </w:tc>
        <w:tc>
          <w:p>
            <w:pPr>
              <w:pStyle w:val="Compact"/>
              <w:jc w:val="center"/>
            </w:pPr>
            <w:r>
              <w:t xml:space="preserve">-1.654</w:t>
            </w:r>
          </w:p>
        </w:tc>
        <w:tc>
          <w:p>
            <w:pPr>
              <w:pStyle w:val="Compact"/>
              <w:jc w:val="center"/>
            </w:pPr>
            <w:r>
              <w:t xml:space="preserve">Feb - Sep</w:t>
            </w:r>
          </w:p>
        </w:tc>
        <w:tc>
          <w:p>
            <w:pPr>
              <w:pStyle w:val="Compact"/>
              <w:jc w:val="center"/>
            </w:pPr>
            <w:r>
              <w:t xml:space="preserve">1983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-1.728</w:t>
            </w:r>
          </w:p>
        </w:tc>
        <w:tc>
          <w:p>
            <w:pPr>
              <w:pStyle w:val="Compact"/>
              <w:jc w:val="center"/>
            </w:pPr>
            <w:r>
              <w:t xml:space="preserve">10.37</w:t>
            </w:r>
          </w:p>
        </w:tc>
        <w:tc>
          <w:p>
            <w:pPr>
              <w:pStyle w:val="Compact"/>
              <w:jc w:val="center"/>
            </w:pPr>
            <w:r>
              <w:t xml:space="preserve">-1.906</w:t>
            </w:r>
          </w:p>
        </w:tc>
        <w:tc>
          <w:p>
            <w:pPr>
              <w:pStyle w:val="Compact"/>
              <w:jc w:val="center"/>
            </w:pPr>
            <w:r>
              <w:t xml:space="preserve">Mar - Aug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-1.905</w:t>
            </w:r>
          </w:p>
        </w:tc>
        <w:tc>
          <w:p>
            <w:pPr>
              <w:pStyle w:val="Compact"/>
              <w:jc w:val="center"/>
            </w:pPr>
            <w:r>
              <w:t xml:space="preserve">9.527</w:t>
            </w:r>
          </w:p>
        </w:tc>
        <w:tc>
          <w:p>
            <w:pPr>
              <w:pStyle w:val="Compact"/>
              <w:jc w:val="center"/>
            </w:pPr>
            <w:r>
              <w:t xml:space="preserve">-2.3</w:t>
            </w:r>
          </w:p>
        </w:tc>
        <w:tc>
          <w:p>
            <w:pPr>
              <w:pStyle w:val="Compact"/>
              <w:jc w:val="center"/>
            </w:pPr>
            <w:r>
              <w:t xml:space="preserve">Jan - May</w:t>
            </w:r>
          </w:p>
        </w:tc>
        <w:tc>
          <w:p>
            <w:pPr>
              <w:pStyle w:val="Compact"/>
              <w:jc w:val="center"/>
            </w:pPr>
            <w:r>
              <w:t xml:space="preserve">1925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-1.493</w:t>
            </w:r>
          </w:p>
        </w:tc>
        <w:tc>
          <w:p>
            <w:pPr>
              <w:pStyle w:val="Compact"/>
              <w:jc w:val="center"/>
            </w:pPr>
            <w:r>
              <w:t xml:space="preserve">7.463</w:t>
            </w:r>
          </w:p>
        </w:tc>
        <w:tc>
          <w:p>
            <w:pPr>
              <w:pStyle w:val="Compact"/>
              <w:jc w:val="center"/>
            </w:pPr>
            <w:r>
              <w:t xml:space="preserve">-1.537</w:t>
            </w:r>
          </w:p>
        </w:tc>
        <w:tc>
          <w:p>
            <w:pPr>
              <w:pStyle w:val="Compact"/>
              <w:jc w:val="center"/>
            </w:pPr>
            <w:r>
              <w:t xml:space="preserve">May - Sep</w:t>
            </w:r>
          </w:p>
        </w:tc>
        <w:tc>
          <w:p>
            <w:pPr>
              <w:pStyle w:val="Compact"/>
              <w:jc w:val="center"/>
            </w:pPr>
            <w:r>
              <w:t xml:space="preserve">1985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-1.385</w:t>
            </w:r>
          </w:p>
        </w:tc>
        <w:tc>
          <w:p>
            <w:pPr>
              <w:pStyle w:val="Compact"/>
              <w:jc w:val="center"/>
            </w:pPr>
            <w:r>
              <w:t xml:space="preserve">6.926</w:t>
            </w:r>
          </w:p>
        </w:tc>
        <w:tc>
          <w:p>
            <w:pPr>
              <w:pStyle w:val="Compact"/>
              <w:jc w:val="center"/>
            </w:pPr>
            <w:r>
              <w:t xml:space="preserve">-1.444</w:t>
            </w:r>
          </w:p>
        </w:tc>
        <w:tc>
          <w:p>
            <w:pPr>
              <w:pStyle w:val="Compact"/>
              <w:jc w:val="center"/>
            </w:pPr>
            <w:r>
              <w:t xml:space="preserve">Apr - Aug</w:t>
            </w:r>
          </w:p>
        </w:tc>
        <w:tc>
          <w:p>
            <w:pPr>
              <w:pStyle w:val="Compact"/>
              <w:jc w:val="center"/>
            </w:pPr>
            <w:r>
              <w:t xml:space="preserve">1991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-1.522</w:t>
            </w:r>
          </w:p>
        </w:tc>
        <w:tc>
          <w:p>
            <w:pPr>
              <w:pStyle w:val="Compact"/>
              <w:jc w:val="center"/>
            </w:pPr>
            <w:r>
              <w:t xml:space="preserve">7.611</w:t>
            </w:r>
          </w:p>
        </w:tc>
        <w:tc>
          <w:p>
            <w:pPr>
              <w:pStyle w:val="Compact"/>
              <w:jc w:val="center"/>
            </w:pPr>
            <w:r>
              <w:t xml:space="preserve">-1.571</w:t>
            </w:r>
          </w:p>
        </w:tc>
        <w:tc>
          <w:p>
            <w:pPr>
              <w:pStyle w:val="Compact"/>
              <w:jc w:val="center"/>
            </w:pPr>
            <w:r>
              <w:t xml:space="preserve">May - Sep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-1.363</w:t>
            </w:r>
          </w:p>
        </w:tc>
        <w:tc>
          <w:p>
            <w:pPr>
              <w:pStyle w:val="Compact"/>
              <w:jc w:val="center"/>
            </w:pPr>
            <w:r>
              <w:t xml:space="preserve">5.453</w:t>
            </w:r>
          </w:p>
        </w:tc>
        <w:tc>
          <w:p>
            <w:pPr>
              <w:pStyle w:val="Compact"/>
              <w:jc w:val="center"/>
            </w:pPr>
            <w:r>
              <w:t xml:space="preserve">-1.441</w:t>
            </w:r>
          </w:p>
        </w:tc>
        <w:tc>
          <w:p>
            <w:pPr>
              <w:pStyle w:val="Compact"/>
              <w:jc w:val="center"/>
            </w:pPr>
            <w:r>
              <w:t xml:space="preserve">May - Aug</w:t>
            </w:r>
          </w:p>
        </w:tc>
        <w:tc>
          <w:p>
            <w:pPr>
              <w:pStyle w:val="Compact"/>
              <w:jc w:val="center"/>
            </w:pPr>
            <w:r>
              <w:t xml:space="preserve">1927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-1.714</w:t>
            </w:r>
          </w:p>
        </w:tc>
        <w:tc>
          <w:p>
            <w:pPr>
              <w:pStyle w:val="Compact"/>
              <w:jc w:val="center"/>
            </w:pPr>
            <w:r>
              <w:t xml:space="preserve">6.855</w:t>
            </w:r>
          </w:p>
        </w:tc>
        <w:tc>
          <w:p>
            <w:pPr>
              <w:pStyle w:val="Compact"/>
              <w:jc w:val="center"/>
            </w:pPr>
            <w:r>
              <w:t xml:space="preserve">-1.833</w:t>
            </w:r>
          </w:p>
        </w:tc>
        <w:tc>
          <w:p>
            <w:pPr>
              <w:pStyle w:val="Compact"/>
              <w:jc w:val="center"/>
            </w:pPr>
            <w:r>
              <w:t xml:space="preserve">May - Aug</w:t>
            </w:r>
          </w:p>
        </w:tc>
        <w:tc>
          <w:p>
            <w:pPr>
              <w:pStyle w:val="Compact"/>
              <w:jc w:val="center"/>
            </w:pPr>
            <w:r>
              <w:t xml:space="preserve">1931</w:t>
            </w:r>
          </w:p>
        </w:tc>
      </w:tr>
    </w:tbl>
    <w:bookmarkStart w:id="29" w:name="refs"/>
    <w:bookmarkStart w:id="26" w:name="ref-Pascoa2017"/>
    <w:p>
      <w:pPr>
        <w:pStyle w:val="Bibliografa"/>
      </w:pPr>
      <w:r>
        <w:t xml:space="preserve">Páscoa, P., C. Gouveia, A. Russo, and R. Trigo. 2017. Drought trends in the iberian peninsula over the last 112 years. Advances in Meteorology:ID4653126.</w:t>
      </w:r>
    </w:p>
    <w:bookmarkEnd w:id="26"/>
    <w:bookmarkStart w:id="27" w:name="ref-Spinoni2015"/>
    <w:p>
      <w:pPr>
        <w:pStyle w:val="Bibliografa"/>
      </w:pPr>
      <w:r>
        <w:t xml:space="preserve">Spinoni, J., G. Naumann, J. V. Vogt, and P. Barbosa. 2015. The biggest drought events in europe from 1950 to 2012. Journal of Hydrology: Regional Studies 3:509–524.</w:t>
      </w:r>
    </w:p>
    <w:bookmarkEnd w:id="27"/>
    <w:bookmarkStart w:id="28" w:name="ref-Spinoni2017a"/>
    <w:p>
      <w:pPr>
        <w:pStyle w:val="Bibliografa"/>
      </w:pPr>
      <w:r>
        <w:t xml:space="preserve">Spinoni, J., J. V. Vogt, G. Naumann, P. Barbosa, and A. Dosio. 2017. Will drought events become more frequent and severe in europe? International Journal of Climatology.</w:t>
      </w:r>
    </w:p>
    <w:bookmarkEnd w:id="28"/>
    <w:bookmarkEnd w:id="29"/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2018-11-16T20:31:51Z</dcterms:created>
  <dcterms:modified xsi:type="dcterms:W3CDTF">2018-11-16T20:31:51Z</dcterms:modified>
</cp:coreProperties>
</file>