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C372" w14:textId="77777777" w:rsidR="000323DC" w:rsidRDefault="000323DC" w:rsidP="000323DC">
      <w:r>
        <w:t>DOCUMENT ID: DOC_004</w:t>
      </w:r>
    </w:p>
    <w:p w14:paraId="035AB732" w14:textId="77777777" w:rsidR="000323DC" w:rsidRDefault="000323DC" w:rsidP="000323DC">
      <w:r>
        <w:t>TITLE: Logistics ESG and Sustainability Assessment Framework</w:t>
      </w:r>
    </w:p>
    <w:p w14:paraId="4A32B748" w14:textId="77777777" w:rsidR="000323DC" w:rsidRDefault="000323DC" w:rsidP="000323DC">
      <w:r>
        <w:t>CATEGORY: ESG / Sustainability</w:t>
      </w:r>
    </w:p>
    <w:p w14:paraId="16AE0EE3" w14:textId="77777777" w:rsidR="000323DC" w:rsidRDefault="000323DC" w:rsidP="000323DC"/>
    <w:p w14:paraId="2E7DEA1D" w14:textId="77777777" w:rsidR="000323DC" w:rsidRDefault="000323DC" w:rsidP="000323DC">
      <w:r>
        <w:t>Logistics is one of the highest-emission industries globally (8-10% of global CO2 emissions).</w:t>
      </w:r>
    </w:p>
    <w:p w14:paraId="2F8B3799" w14:textId="77777777" w:rsidR="000323DC" w:rsidRDefault="000323DC" w:rsidP="000323DC">
      <w:r>
        <w:t>ESG positioning is a growing competitive differentiator and regulatory requirement.</w:t>
      </w:r>
    </w:p>
    <w:p w14:paraId="0AE0B2FD" w14:textId="77777777" w:rsidR="000323DC" w:rsidRDefault="000323DC" w:rsidP="000323DC"/>
    <w:p w14:paraId="693F558C" w14:textId="77777777" w:rsidR="000323DC" w:rsidRDefault="000323DC" w:rsidP="000323DC">
      <w:r>
        <w:t>ENVIRONMENTAL DIMENSIONS</w:t>
      </w:r>
    </w:p>
    <w:p w14:paraId="3DC1BA32" w14:textId="77777777" w:rsidR="000323DC" w:rsidRDefault="000323DC" w:rsidP="000323DC">
      <w:r>
        <w:t>- Emissions targets: Has the company committed to Net Zero? By when?</w:t>
      </w:r>
    </w:p>
    <w:p w14:paraId="4C10DDF0" w14:textId="77777777" w:rsidR="000323DC" w:rsidRDefault="000323DC" w:rsidP="000323DC">
      <w:r>
        <w:t>- Fleet electrification: Percentage of EV or hydrogen vehicles in fleet</w:t>
      </w:r>
    </w:p>
    <w:p w14:paraId="3E1F2EDB" w14:textId="77777777" w:rsidR="000323DC" w:rsidRDefault="000323DC" w:rsidP="000323DC">
      <w:r>
        <w:t>- Modal shift: Use of rail, sea, or intermodal to reduce road emissions</w:t>
      </w:r>
    </w:p>
    <w:p w14:paraId="4D556C43" w14:textId="77777777" w:rsidR="000323DC" w:rsidRDefault="000323DC" w:rsidP="000323DC">
      <w:r>
        <w:t>- Carbon offsetting: Verified carbon credits or offset programs</w:t>
      </w:r>
    </w:p>
    <w:p w14:paraId="612724F9" w14:textId="77777777" w:rsidR="000323DC" w:rsidRDefault="000323DC" w:rsidP="000323DC">
      <w:r>
        <w:t>- Fuel efficiency: CO2 per tonne-km metric published?</w:t>
      </w:r>
    </w:p>
    <w:p w14:paraId="35C24E1B" w14:textId="77777777" w:rsidR="000323DC" w:rsidRDefault="000323DC" w:rsidP="000323DC">
      <w:r>
        <w:t>- Green warehousing: Solar panels, LED lighting, BREEAM/LEED certified facilities</w:t>
      </w:r>
    </w:p>
    <w:p w14:paraId="7A3B3FFD" w14:textId="77777777" w:rsidR="000323DC" w:rsidRDefault="000323DC" w:rsidP="000323DC"/>
    <w:p w14:paraId="4E12D97A" w14:textId="77777777" w:rsidR="000323DC" w:rsidRDefault="000323DC" w:rsidP="000323DC">
      <w:r>
        <w:t>SOCIAL DIMENSIONS</w:t>
      </w:r>
    </w:p>
    <w:p w14:paraId="442DEDDE" w14:textId="77777777" w:rsidR="000323DC" w:rsidRDefault="000323DC" w:rsidP="000323DC">
      <w:r>
        <w:t>- Driver welfare and working conditions</w:t>
      </w:r>
    </w:p>
    <w:p w14:paraId="310B419B" w14:textId="77777777" w:rsidR="000323DC" w:rsidRDefault="000323DC" w:rsidP="000323DC">
      <w:r>
        <w:t>- Last-mile delivery worker classification (employee vs gig worker)</w:t>
      </w:r>
    </w:p>
    <w:p w14:paraId="17E096A0" w14:textId="77777777" w:rsidR="000323DC" w:rsidRDefault="000323DC" w:rsidP="000323DC">
      <w:r>
        <w:t>- Community impact in logistics hub regions</w:t>
      </w:r>
    </w:p>
    <w:p w14:paraId="1DFF3E43" w14:textId="77777777" w:rsidR="000323DC" w:rsidRDefault="000323DC" w:rsidP="000323DC">
      <w:r>
        <w:t>- Diversity and inclusion in leadership</w:t>
      </w:r>
    </w:p>
    <w:p w14:paraId="6404446A" w14:textId="77777777" w:rsidR="000323DC" w:rsidRDefault="000323DC" w:rsidP="000323DC"/>
    <w:p w14:paraId="12C17991" w14:textId="77777777" w:rsidR="000323DC" w:rsidRDefault="000323DC" w:rsidP="000323DC">
      <w:r>
        <w:t>GOVERNANCE DIMENSIONS</w:t>
      </w:r>
    </w:p>
    <w:p w14:paraId="23616819" w14:textId="77777777" w:rsidR="000323DC" w:rsidRDefault="000323DC" w:rsidP="000323DC">
      <w:r>
        <w:t>- ESG reporting standard used: GRI, SASB, CDP, or TCFD</w:t>
      </w:r>
    </w:p>
    <w:p w14:paraId="6AE3584D" w14:textId="77777777" w:rsidR="000323DC" w:rsidRDefault="000323DC" w:rsidP="000323DC">
      <w:r>
        <w:t>- Board-level ESG committee or oversight</w:t>
      </w:r>
    </w:p>
    <w:p w14:paraId="2EBF7E48" w14:textId="77777777" w:rsidR="000323DC" w:rsidRDefault="000323DC" w:rsidP="000323DC">
      <w:r>
        <w:t>- Supply chain transparency and ethical sourcing policy published</w:t>
      </w:r>
    </w:p>
    <w:p w14:paraId="035C50D3" w14:textId="77777777" w:rsidR="000323DC" w:rsidRDefault="000323DC" w:rsidP="000323DC"/>
    <w:p w14:paraId="079558C4" w14:textId="77777777" w:rsidR="000323DC" w:rsidRDefault="000323DC" w:rsidP="000323DC">
      <w:r>
        <w:t>ESG SCORING GUIDE FOR AGENT:</w:t>
      </w:r>
    </w:p>
    <w:p w14:paraId="077B0DD4" w14:textId="77777777" w:rsidR="000323DC" w:rsidRDefault="000323DC" w:rsidP="000323DC">
      <w:r>
        <w:lastRenderedPageBreak/>
        <w:t>STRONG ESG: Public Net Zero commitment + independently verified reporting + product-level carbon data available</w:t>
      </w:r>
    </w:p>
    <w:p w14:paraId="16CE4174" w14:textId="77777777" w:rsidR="000323DC" w:rsidRDefault="000323DC" w:rsidP="000323DC">
      <w:r>
        <w:t>MODERATE ESG: Some targets stated, partial reporting, no independent third-party verification</w:t>
      </w:r>
    </w:p>
    <w:p w14:paraId="01B1C4E7" w14:textId="77777777" w:rsidR="000323DC" w:rsidRDefault="000323DC" w:rsidP="000323DC">
      <w:r>
        <w:t>WEAK ESG: No public commitments, no reporting framework, greenwashing risk present</w:t>
      </w:r>
    </w:p>
    <w:p w14:paraId="1BDB8984" w14:textId="77777777" w:rsidR="000323DC" w:rsidRDefault="000323DC" w:rsidP="000323DC"/>
    <w:p w14:paraId="50375E41" w14:textId="77777777" w:rsidR="000323DC" w:rsidRDefault="000323DC" w:rsidP="000323DC">
      <w:r>
        <w:t>INDUSTRY CONTEXT:</w:t>
      </w:r>
    </w:p>
    <w:p w14:paraId="7727B129" w14:textId="77777777" w:rsidR="000323DC" w:rsidRDefault="000323DC" w:rsidP="000323DC">
      <w:r>
        <w:t>Large shippers (retailers, manufacturers) are under Scope 3 reporting pressure.</w:t>
      </w:r>
    </w:p>
    <w:p w14:paraId="48C47206" w14:textId="77777777" w:rsidR="000323DC" w:rsidRDefault="000323DC" w:rsidP="000323DC">
      <w:r>
        <w:t>They must account for emissions from their logistics partners.</w:t>
      </w:r>
    </w:p>
    <w:p w14:paraId="33571AE2" w14:textId="77777777" w:rsidR="000323DC" w:rsidRDefault="000323DC" w:rsidP="000323DC">
      <w:r>
        <w:t>Logistics companies without credible ESG credentials risk losing enterprise contracts post-2025.</w:t>
      </w:r>
    </w:p>
    <w:p w14:paraId="7564E951" w14:textId="2FAF2D9D" w:rsidR="007B5FEF" w:rsidRDefault="000323DC" w:rsidP="000323DC">
      <w:r>
        <w:t>EU Carbon Border Adjustment Mechanism (CBAM) increasing regulatory pressure on supply chains.</w:t>
      </w:r>
    </w:p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93"/>
    <w:rsid w:val="00004726"/>
    <w:rsid w:val="000323DC"/>
    <w:rsid w:val="001B1379"/>
    <w:rsid w:val="002A0694"/>
    <w:rsid w:val="0039179A"/>
    <w:rsid w:val="0064276B"/>
    <w:rsid w:val="007B5FEF"/>
    <w:rsid w:val="007D4311"/>
    <w:rsid w:val="00986A94"/>
    <w:rsid w:val="00B67393"/>
    <w:rsid w:val="00B91ECA"/>
    <w:rsid w:val="00E357A3"/>
    <w:rsid w:val="00EC681E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302368"/>
  <w15:chartTrackingRefBased/>
  <w15:docId w15:val="{03C16353-9E88-4B4B-B1D2-FF67B0E7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6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7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7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739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739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673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73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739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7393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7393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7393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7393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7393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7393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B6739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739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73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739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B67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7393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B673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73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7393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B67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1553</Characters>
  <Application>Microsoft Office Word</Application>
  <DocSecurity>0</DocSecurity>
  <Lines>38</Lines>
  <Paragraphs>34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3</cp:revision>
  <dcterms:created xsi:type="dcterms:W3CDTF">2026-03-03T14:48:00Z</dcterms:created>
  <dcterms:modified xsi:type="dcterms:W3CDTF">2026-03-03T14:53:00Z</dcterms:modified>
</cp:coreProperties>
</file>