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13752" w14:textId="77777777" w:rsidR="00306D71" w:rsidRDefault="00306D71" w:rsidP="00306D71">
      <w:r>
        <w:t>DOCUMENT ID: DOC_006</w:t>
      </w:r>
    </w:p>
    <w:p w14:paraId="55D422C0" w14:textId="77777777" w:rsidR="00306D71" w:rsidRDefault="00306D71" w:rsidP="00306D71">
      <w:r>
        <w:t>TITLE: Logistics Industry Context and Benchmark Reference 2024</w:t>
      </w:r>
    </w:p>
    <w:p w14:paraId="4645F10C" w14:textId="77777777" w:rsidR="00306D71" w:rsidRDefault="00306D71" w:rsidP="00306D71">
      <w:r>
        <w:t>CATEGORY: Industry Knowledge</w:t>
      </w:r>
    </w:p>
    <w:p w14:paraId="043D3646" w14:textId="77777777" w:rsidR="00306D71" w:rsidRDefault="00306D71" w:rsidP="00306D71"/>
    <w:p w14:paraId="3B57D7E6" w14:textId="77777777" w:rsidR="00306D71" w:rsidRDefault="00306D71" w:rsidP="00306D71">
      <w:r>
        <w:t>GLOBAL MARKET SIZE (2024 estimates)</w:t>
      </w:r>
    </w:p>
    <w:p w14:paraId="34025C6F" w14:textId="77777777" w:rsidR="00306D71" w:rsidRDefault="00306D71" w:rsidP="00306D71">
      <w:r>
        <w:t>- Total global logistics market: approximately 12 trillion USD</w:t>
      </w:r>
    </w:p>
    <w:p w14:paraId="59A0EBE9" w14:textId="77777777" w:rsidR="00306D71" w:rsidRDefault="00306D71" w:rsidP="00306D71">
      <w:r>
        <w:t>- Third-Party Logistics (3PL) market: approximately 1.3 trillion USD</w:t>
      </w:r>
    </w:p>
    <w:p w14:paraId="0D871E77" w14:textId="77777777" w:rsidR="00306D71" w:rsidRDefault="00306D71" w:rsidP="00306D71">
      <w:r>
        <w:t>- Express parcel market: approximately 450 billion USD</w:t>
      </w:r>
    </w:p>
    <w:p w14:paraId="13A88663" w14:textId="77777777" w:rsidR="00306D71" w:rsidRDefault="00306D71" w:rsidP="00306D71">
      <w:r>
        <w:t>- Cold chain logistics: approximately 340 billion USD</w:t>
      </w:r>
    </w:p>
    <w:p w14:paraId="43383E8F" w14:textId="77777777" w:rsidR="00306D71" w:rsidRDefault="00306D71" w:rsidP="00306D71">
      <w:r>
        <w:t>- Contract logistics: approximately 300 billion USD</w:t>
      </w:r>
    </w:p>
    <w:p w14:paraId="5FC4CF6F" w14:textId="77777777" w:rsidR="00306D71" w:rsidRDefault="00306D71" w:rsidP="00306D71"/>
    <w:p w14:paraId="1C56CD36" w14:textId="77777777" w:rsidR="00306D71" w:rsidRDefault="00306D71" w:rsidP="00306D71">
      <w:r>
        <w:t>KEY INDUSTRY TRENDS TO REFERENCE</w:t>
      </w:r>
    </w:p>
    <w:p w14:paraId="490B5C12" w14:textId="77777777" w:rsidR="00306D71" w:rsidRDefault="00306D71" w:rsidP="00306D71">
      <w:r>
        <w:t>1. Digitalization: TMS, real-time visibility platforms, AI route optimization becoming standard</w:t>
      </w:r>
    </w:p>
    <w:p w14:paraId="53D7F501" w14:textId="77777777" w:rsidR="00306D71" w:rsidRDefault="00306D71" w:rsidP="00306D71">
      <w:r>
        <w:t>2. E-commerce growth: Last-mile delivery fastest-growing and most costly segment (up to 50% of total shipment cost)</w:t>
      </w:r>
    </w:p>
    <w:p w14:paraId="1EDF18BB" w14:textId="77777777" w:rsidR="00306D71" w:rsidRDefault="00306D71" w:rsidP="00306D71">
      <w:r>
        <w:t>3. Nearshoring / friend-shoring: Supply chain resilience driving regional logistics investment</w:t>
      </w:r>
    </w:p>
    <w:p w14:paraId="6FC490F4" w14:textId="77777777" w:rsidR="00306D71" w:rsidRDefault="00306D71" w:rsidP="00306D71">
      <w:r>
        <w:t>4. Sustainability pressure: Large shippers mandating Scope 3 emissions reporting from logistics partners</w:t>
      </w:r>
    </w:p>
    <w:p w14:paraId="62F9C45E" w14:textId="77777777" w:rsidR="00306D71" w:rsidRDefault="00306D71" w:rsidP="00306D71">
      <w:r>
        <w:t>5. Warehouse automation: Robotics (</w:t>
      </w:r>
      <w:proofErr w:type="spellStart"/>
      <w:r>
        <w:t>AutoStore</w:t>
      </w:r>
      <w:proofErr w:type="spellEnd"/>
      <w:r>
        <w:t>, Kiva systems) reducing labor dependency</w:t>
      </w:r>
    </w:p>
    <w:p w14:paraId="22EF415D" w14:textId="77777777" w:rsidR="00306D71" w:rsidRDefault="00306D71" w:rsidP="00306D71">
      <w:r>
        <w:t>6. Freight rate volatility: Ocean and air freight rates highly cyclical; road capacity tight in EU and US</w:t>
      </w:r>
    </w:p>
    <w:p w14:paraId="4FAB3FE3" w14:textId="77777777" w:rsidR="00306D71" w:rsidRDefault="00306D71" w:rsidP="00306D71"/>
    <w:p w14:paraId="77BEBCA8" w14:textId="77777777" w:rsidR="00306D71" w:rsidRDefault="00306D71" w:rsidP="00306D71">
      <w:r>
        <w:t>KEY PUBLIC LOGISTICS COMPANIES (benchmark reference)</w:t>
      </w:r>
    </w:p>
    <w:p w14:paraId="6B586706" w14:textId="77777777" w:rsidR="00306D71" w:rsidRDefault="00306D71" w:rsidP="00306D71">
      <w:r>
        <w:t>- DHL Group (Germany): largest global logistics player, approximately 94 billion EUR revenue</w:t>
      </w:r>
    </w:p>
    <w:p w14:paraId="397543E5" w14:textId="77777777" w:rsidR="00306D71" w:rsidRDefault="00306D71" w:rsidP="00306D71">
      <w:r>
        <w:t>- FedEx (USA): global express and freight, approximately 88 billion USD revenue</w:t>
      </w:r>
    </w:p>
    <w:p w14:paraId="62BA85A0" w14:textId="77777777" w:rsidR="00306D71" w:rsidRDefault="00306D71" w:rsidP="00306D71">
      <w:r>
        <w:t>- UPS (USA): parcel and supply chain services, approximately 91 billion USD revenue</w:t>
      </w:r>
    </w:p>
    <w:p w14:paraId="28A5385F" w14:textId="77777777" w:rsidR="00306D71" w:rsidRDefault="00306D71" w:rsidP="00306D71">
      <w:r>
        <w:t xml:space="preserve">- </w:t>
      </w:r>
      <w:proofErr w:type="spellStart"/>
      <w:r>
        <w:t>Kuehne+Nagel</w:t>
      </w:r>
      <w:proofErr w:type="spellEnd"/>
      <w:r>
        <w:t xml:space="preserve"> (Switzerland): asset-light freight forwarding, approximately 24 billion CHF revenue</w:t>
      </w:r>
    </w:p>
    <w:p w14:paraId="657067E8" w14:textId="77777777" w:rsidR="00306D71" w:rsidRDefault="00306D71" w:rsidP="00306D71">
      <w:r>
        <w:t>- DB Schenker (Germany): global freight forwarding and contract logistics</w:t>
      </w:r>
    </w:p>
    <w:p w14:paraId="244F0F7E" w14:textId="77777777" w:rsidR="00306D71" w:rsidRDefault="00306D71" w:rsidP="00306D71">
      <w:r>
        <w:t>- DSV (Denmark): fast-growing acquirer, asset-light model, approximately 160 billion DKK revenue</w:t>
      </w:r>
    </w:p>
    <w:p w14:paraId="081210F2" w14:textId="77777777" w:rsidR="00306D71" w:rsidRDefault="00306D71" w:rsidP="00306D71">
      <w:r>
        <w:lastRenderedPageBreak/>
        <w:t>- XPO Logistics (USA): North American LTL (Less Than Truckload) specialist</w:t>
      </w:r>
    </w:p>
    <w:p w14:paraId="3820C1EC" w14:textId="77777777" w:rsidR="00306D71" w:rsidRDefault="00306D71" w:rsidP="00306D71">
      <w:r>
        <w:t>- Maersk (Denmark): ocean carrier integrating into end-to-end logistics</w:t>
      </w:r>
    </w:p>
    <w:p w14:paraId="5BBC4270" w14:textId="77777777" w:rsidR="00306D71" w:rsidRDefault="00306D71" w:rsidP="00306D71"/>
    <w:p w14:paraId="604DBC5F" w14:textId="77777777" w:rsidR="00306D71" w:rsidRDefault="00306D71" w:rsidP="00306D71">
      <w:r>
        <w:t>FINANCIAL MARGIN BENCHMARKS BY SEGMENT</w:t>
      </w:r>
    </w:p>
    <w:p w14:paraId="214061C1" w14:textId="77777777" w:rsidR="00306D71" w:rsidRDefault="00306D71" w:rsidP="00306D71">
      <w:r>
        <w:t>- Asset-heavy carriers (trucking, air): EBIT margin 5 to 10 percent</w:t>
      </w:r>
    </w:p>
    <w:p w14:paraId="3DF2E967" w14:textId="77777777" w:rsidR="00306D71" w:rsidRDefault="00306D71" w:rsidP="00306D71">
      <w:r>
        <w:t>- Asset-light freight forwarders: EBIT margin 3 to 7 percent (spikes during rate boom cycles)</w:t>
      </w:r>
    </w:p>
    <w:p w14:paraId="2AF0E86A" w14:textId="77777777" w:rsidR="00306D71" w:rsidRDefault="00306D71" w:rsidP="00306D71">
      <w:r>
        <w:t>- 3PL contract logistics: EBIT margin 3 to 6 percent</w:t>
      </w:r>
    </w:p>
    <w:p w14:paraId="7710F5BC" w14:textId="77777777" w:rsidR="00306D71" w:rsidRDefault="00306D71" w:rsidP="00306D71">
      <w:r>
        <w:t>- Express and parcel delivery: EBIT margin 8 to 15 percent</w:t>
      </w:r>
    </w:p>
    <w:p w14:paraId="60B01539" w14:textId="77777777" w:rsidR="00306D71" w:rsidRDefault="00306D71" w:rsidP="00306D71"/>
    <w:p w14:paraId="5E2B0326" w14:textId="77777777" w:rsidR="00306D71" w:rsidRDefault="00306D71" w:rsidP="00306D71">
      <w:r>
        <w:t>INSTRUCTION FOR AGENT:</w:t>
      </w:r>
    </w:p>
    <w:p w14:paraId="3324A1AC" w14:textId="77777777" w:rsidR="00306D71" w:rsidRDefault="00306D71" w:rsidP="00306D71">
      <w:r>
        <w:t>Use these benchmarks to contextualize any company financial data found in the research bundle.</w:t>
      </w:r>
    </w:p>
    <w:p w14:paraId="1F5B074C" w14:textId="77777777" w:rsidR="00306D71" w:rsidRDefault="00306D71" w:rsidP="00306D71">
      <w:r>
        <w:t>If a company's margin is above benchmark, note it as a strength.</w:t>
      </w:r>
    </w:p>
    <w:p w14:paraId="0233B0DA" w14:textId="77777777" w:rsidR="00306D71" w:rsidRDefault="00306D71" w:rsidP="00306D71">
      <w:r>
        <w:t>If below benchmark, note it as a weakness or flag for investigation.</w:t>
      </w:r>
    </w:p>
    <w:p w14:paraId="3030184D" w14:textId="14143E31" w:rsidR="007B5FEF" w:rsidRDefault="00306D71" w:rsidP="00306D71">
      <w:r>
        <w:t>Compare company size against the benchmark companies listed above to establish relative scale.</w:t>
      </w:r>
    </w:p>
    <w:sectPr w:rsidR="007B5FE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37D"/>
    <w:rsid w:val="0013137D"/>
    <w:rsid w:val="001B1379"/>
    <w:rsid w:val="002A0694"/>
    <w:rsid w:val="00306D71"/>
    <w:rsid w:val="0039179A"/>
    <w:rsid w:val="0064276B"/>
    <w:rsid w:val="007B5FEF"/>
    <w:rsid w:val="007D4311"/>
    <w:rsid w:val="00986A94"/>
    <w:rsid w:val="00B91ECA"/>
    <w:rsid w:val="00E357A3"/>
    <w:rsid w:val="00EC681E"/>
    <w:rsid w:val="00F8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150770"/>
  <w15:chartTrackingRefBased/>
  <w15:docId w15:val="{15662805-A555-6946-BD42-D5155BB3B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7D4311"/>
    <w:pPr>
      <w:spacing w:before="120" w:after="240"/>
      <w:jc w:val="both"/>
    </w:pPr>
    <w:rPr>
      <w:rFonts w:eastAsiaTheme="minorEastAsia"/>
      <w:sz w:val="22"/>
      <w:szCs w:val="22"/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31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31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31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31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31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31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31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3137D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3137D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Formatvorlage1">
    <w:name w:val="Formatvorlage1"/>
    <w:basedOn w:val="Standard"/>
    <w:rsid w:val="007D4311"/>
    <w:pPr>
      <w:spacing w:before="0" w:after="0" w:line="0" w:lineRule="atLeast"/>
      <w:jc w:val="left"/>
    </w:pPr>
    <w:rPr>
      <w:noProof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3137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3137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3137D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3137D"/>
    <w:rPr>
      <w:rFonts w:eastAsiaTheme="majorEastAsia" w:cstheme="majorBidi"/>
      <w:i/>
      <w:iCs/>
      <w:color w:val="0F4761" w:themeColor="accent1" w:themeShade="BF"/>
      <w:sz w:val="22"/>
      <w:szCs w:val="22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3137D"/>
    <w:rPr>
      <w:rFonts w:eastAsiaTheme="majorEastAsia" w:cstheme="majorBidi"/>
      <w:color w:val="0F4761" w:themeColor="accent1" w:themeShade="BF"/>
      <w:sz w:val="22"/>
      <w:szCs w:val="22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3137D"/>
    <w:rPr>
      <w:rFonts w:eastAsiaTheme="majorEastAsia" w:cstheme="majorBidi"/>
      <w:i/>
      <w:iCs/>
      <w:color w:val="595959" w:themeColor="text1" w:themeTint="A6"/>
      <w:sz w:val="22"/>
      <w:szCs w:val="22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3137D"/>
    <w:rPr>
      <w:rFonts w:eastAsiaTheme="majorEastAsia" w:cstheme="majorBidi"/>
      <w:color w:val="595959" w:themeColor="text1" w:themeTint="A6"/>
      <w:sz w:val="22"/>
      <w:szCs w:val="22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3137D"/>
    <w:rPr>
      <w:rFonts w:eastAsiaTheme="majorEastAsia" w:cstheme="majorBidi"/>
      <w:i/>
      <w:iCs/>
      <w:color w:val="272727" w:themeColor="text1" w:themeTint="D8"/>
      <w:sz w:val="22"/>
      <w:szCs w:val="22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3137D"/>
    <w:rPr>
      <w:rFonts w:eastAsiaTheme="majorEastAsia" w:cstheme="majorBidi"/>
      <w:color w:val="272727" w:themeColor="text1" w:themeTint="D8"/>
      <w:sz w:val="22"/>
      <w:szCs w:val="22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13137D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3137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3137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3137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1313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3137D"/>
    <w:rPr>
      <w:rFonts w:eastAsiaTheme="minorEastAsia"/>
      <w:i/>
      <w:iCs/>
      <w:color w:val="404040" w:themeColor="text1" w:themeTint="BF"/>
      <w:sz w:val="22"/>
      <w:szCs w:val="22"/>
      <w:lang w:val="en-US"/>
    </w:rPr>
  </w:style>
  <w:style w:type="paragraph" w:styleId="Listenabsatz">
    <w:name w:val="List Paragraph"/>
    <w:basedOn w:val="Standard"/>
    <w:uiPriority w:val="34"/>
    <w:qFormat/>
    <w:rsid w:val="0013137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3137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31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3137D"/>
    <w:rPr>
      <w:rFonts w:eastAsiaTheme="minorEastAsia"/>
      <w:i/>
      <w:iCs/>
      <w:color w:val="0F4761" w:themeColor="accent1" w:themeShade="BF"/>
      <w:sz w:val="22"/>
      <w:szCs w:val="22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1313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396</Words>
  <Characters>2075</Characters>
  <Application>Microsoft Office Word</Application>
  <DocSecurity>0</DocSecurity>
  <Lines>54</Lines>
  <Paragraphs>51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kinda faisal</dc:creator>
  <cp:keywords/>
  <dc:description/>
  <cp:lastModifiedBy>kinda faisal</cp:lastModifiedBy>
  <cp:revision>2</cp:revision>
  <dcterms:created xsi:type="dcterms:W3CDTF">2026-03-03T14:46:00Z</dcterms:created>
  <dcterms:modified xsi:type="dcterms:W3CDTF">2026-03-03T14:54:00Z</dcterms:modified>
</cp:coreProperties>
</file>