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Azure Landing Zone MVP</w:t>
      </w:r>
    </w:p>
    <w:p>
      <w:pPr>
        <w:spacing w:before="200"/>
        <w:jc w:val="center"/>
      </w:pPr>
      <w:r>
        <w:rPr>
          <w:rFonts w:ascii="Arial" w:cs="Arial" w:eastAsia="Arial" w:hAnsi="Arial"/>
          <w:b/>
          <w:bCs/>
          <w:color w:val="2d5a87"/>
          <w:sz w:val="40"/>
          <w:szCs w:val="40"/>
        </w:rPr>
        <w:t xml:space="preserve">Vision, Strategy &amp; Plan</w:t>
      </w:r>
    </w:p>
    <w:p>
      <w:pPr>
        <w:spacing w:before="400"/>
        <w:jc w:val="center"/>
      </w:pPr>
      <w:r>
        <w:rPr>
          <w:rFonts w:ascii="Arial" w:cs="Arial" w:eastAsia="Arial" w:hAnsi="Arial"/>
          <w:color w:val="4a7fb5"/>
          <w:sz w:val="28"/>
          <w:szCs w:val="28"/>
        </w:rPr>
        <w:t xml:space="preserve">Request for Proposals – Vendor Evaluation Framework</w:t>
      </w:r>
    </w:p>
    <w:p>
      <w:pPr>
        <w:spacing w:before="600"/>
      </w:pPr>
    </w:p>
    <w:p>
      <w:pPr>
        <w:jc w:val="center"/>
      </w:pPr>
      <w:r>
        <w:rPr>
          <w:rFonts w:ascii="Arial" w:cs="Arial" w:eastAsia="Arial" w:hAnsi="Arial"/>
          <w:sz w:val="24"/>
          <w:szCs w:val="24"/>
        </w:rPr>
        <w:t xml:space="preserve">Mission Optimisation Team</w:t>
      </w:r>
    </w:p>
    <w:p>
      <w:pPr>
        <w:spacing w:before="100"/>
        <w:jc w:val="center"/>
      </w:pPr>
      <w:r>
        <w:rPr>
          <w:rFonts w:ascii="Arial" w:cs="Arial" w:eastAsia="Arial" w:hAnsi="Arial"/>
          <w:i/>
          <w:iCs/>
          <w:sz w:val="22"/>
          <w:szCs w:val="22"/>
        </w:rPr>
        <w:t xml:space="preserve">Professional Services Firm – Nuclear Sector</w:t>
      </w:r>
    </w:p>
    <w:p>
      <w:pPr>
        <w:spacing w:before="1200"/>
      </w:pPr>
    </w:p>
    <w:p>
      <w:pPr>
        <w:jc w:val="center"/>
      </w:pPr>
      <w:r>
        <w:rPr>
          <w:color w:val="666666"/>
          <w:sz w:val="20"/>
          <w:szCs w:val="20"/>
        </w:rPr>
        <w:t xml:space="preserve">Document Reference: MOT-ALZ-MVP-RFP-001</w:t>
      </w:r>
    </w:p>
    <w:p>
      <w:pPr>
        <w:spacing w:before="100"/>
        <w:jc w:val="center"/>
      </w:pPr>
      <w:r>
        <w:rPr>
          <w:color w:val="666666"/>
          <w:sz w:val="20"/>
          <w:szCs w:val="20"/>
        </w:rPr>
        <w:t xml:space="preserve">Version 1.0 | January 2025</w:t>
      </w:r>
    </w:p>
    <w:p>
      <w:r>
        <w:br w:type="page"/>
      </w:r>
    </w:p>
    <w:p>
      <w:pPr>
        <w:pStyle w:val="Heading1"/>
      </w:pPr>
      <w:r>
        <w:t xml:space="preserve">1. Executive Summary</w:t>
      </w:r>
    </w:p>
    <w:p>
      <w:pPr>
        <w:spacing w:after="200"/>
      </w:pPr>
      <w:r>
        <w:t xml:space="preserve">This document establishes the Vision, Strategy, and Implementation Plan for an Azure Landing Zone (ALZ) Minimum Viable Product (MVP) to support the Mission Optimisation Team's Data, BI, Analytics, and Simulation capabilities. The ALZ will provide a secure, compliant, and scalable foundation for professional services delivery to nuclear decommissioning and new build clients.</w:t>
      </w:r>
    </w:p>
    <w:p>
      <w:pPr>
        <w:spacing w:after="200"/>
      </w:pPr>
      <w:r>
        <w:t xml:space="preserve">The implementation adopts Microsoft's Cloud Adoption Framework (CAF) Accelerator approach, targeting delivery within 8-12 weeks with 2-3 full-time external resources. This document serves as the baseline for evaluating vendor proposals and ensuring alignment with organisational requirements.</w:t>
      </w:r>
    </w:p>
    <w:p>
      <w:pPr>
        <w:pStyle w:val="Heading2"/>
      </w:pPr>
      <w:r>
        <w:t xml:space="preserve">1.1 Key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Timeline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8-12 weeks MVP delivery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Resources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FTE for duration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ROI Horizon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years for platform investment recoup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Frameworks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NIST 800-53, UK NCSC 14 Principles, ISO 27001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Implementation Approach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Microsoft CAF Accelerator (Bicep/Terraform)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Workload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GWM Solution Migration (Year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Capabilities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Data/BI/Analytics → ML/AI → Advanced Simulation</w:t>
            </w:r>
          </w:p>
        </w:tc>
      </w:tr>
    </w:tbl>
    <w:p>
      <w:pPr>
        <w:spacing w:after="200"/>
      </w:pPr>
    </w:p>
    <w:p>
      <w:r>
        <w:br w:type="page"/>
      </w:r>
    </w:p>
    <w:p>
      <w:pPr>
        <w:pStyle w:val="Heading1"/>
      </w:pPr>
      <w:r>
        <w:t xml:space="preserve">2. Strategic Vision</w:t>
      </w:r>
    </w:p>
    <w:p>
      <w:pPr>
        <w:shd w:fill="e8f4f8" w:val="clear"/>
        <w:spacing w:after="200"/>
      </w:pPr>
      <w:r>
        <w:rPr>
          <w:i/>
          <w:iCs/>
          <w:sz w:val="24"/>
          <w:szCs w:val="24"/>
        </w:rPr>
        <w:t xml:space="preserve">Establish a secure, compliant, and scalable Azure foundation that enables the Mission Optimisation Team to deliver AI-augmented modelling, simulation, and analytics capabilities for nuclear sector clients, positioning the firm as a technology-forward leader in mission-critical professional services.</w:t>
      </w:r>
    </w:p>
    <w:p>
      <w:pPr>
        <w:pStyle w:val="Heading2"/>
      </w:pPr>
      <w:r>
        <w:t xml:space="preserve">2.1 Vision Time Horizon</w:t>
      </w:r>
    </w:p>
    <w:p>
      <w:pPr>
        <w:spacing w:after="200"/>
      </w:pPr>
      <w:r>
        <w:t xml:space="preserve">The strategic vision spans a 3-year horizon, aligned with the ROI model for platform investment recoupment. Year 1 focuses on MVP delivery and GWM migration; Years 2-3 expand platform capabilities and project utilisation.</w:t>
      </w:r>
    </w:p>
    <w:p>
      <w:pPr>
        <w:pStyle w:val="Heading2"/>
      </w:pPr>
      <w:r>
        <w:t xml:space="preserve">2.2 Competitive Positioning</w:t>
      </w:r>
    </w:p>
    <w:p>
      <w:pPr>
        <w:pStyle w:val="ListParagraph"/>
        <w:numPr>
          <w:ilvl w:val="0"/>
          <w:numId w:val="2"/>
        </w:numPr>
      </w:pPr>
      <w:r>
        <w:rPr>
          <w:b/>
          <w:bCs/>
        </w:rPr>
        <w:t xml:space="preserve">Differentiation Strategy: </w:t>
      </w:r>
      <w:r>
        <w:t xml:space="preserve">AI-integrated modelling and simulation platform with enterprise-grade security</w:t>
      </w:r>
    </w:p>
    <w:p>
      <w:pPr>
        <w:pStyle w:val="ListParagraph"/>
        <w:numPr>
          <w:ilvl w:val="0"/>
          <w:numId w:val="2"/>
        </w:numPr>
      </w:pPr>
      <w:r>
        <w:rPr>
          <w:b/>
          <w:bCs/>
        </w:rPr>
        <w:t xml:space="preserve">Target Market: </w:t>
      </w:r>
      <w:r>
        <w:t xml:space="preserve">Nuclear decommissioning and new build programmes requiring mission optimisation</w:t>
      </w:r>
    </w:p>
    <w:p>
      <w:pPr>
        <w:pStyle w:val="ListParagraph"/>
        <w:numPr>
          <w:ilvl w:val="0"/>
          <w:numId w:val="2"/>
        </w:numPr>
        <w:spacing w:after="200"/>
      </w:pPr>
      <w:r>
        <w:rPr>
          <w:b/>
          <w:bCs/>
        </w:rPr>
        <w:t xml:space="preserve">Value Proposition: </w:t>
      </w:r>
      <w:r>
        <w:t xml:space="preserve">Accelerated time-to-value through platform approach, avoiding reinvention while leveraging shared capabilities</w:t>
      </w:r>
    </w:p>
    <w:p>
      <w:pPr>
        <w:pStyle w:val="Heading1"/>
      </w:pPr>
      <w:r>
        <w:t xml:space="preserve">3. Strategic Initiatives</w:t>
      </w:r>
    </w:p>
    <w:p>
      <w:pPr>
        <w:pStyle w:val="Heading2"/>
      </w:pPr>
      <w:r>
        <w:t xml:space="preserve">3.1 Platform Foundation Strategy (Priority 1)</w:t>
      </w:r>
    </w:p>
    <w:p>
      <w:pPr>
        <w:spacing w:after="100"/>
      </w:pPr>
      <w:r>
        <w:t xml:space="preserve">Deploy Azure Landing Zone using CAF Accelerator approach to create shared platform capabilities enabling Data/BI/Analytics and future AI/ML workloads.</w:t>
      </w:r>
    </w:p>
    <w:p>
      <w:pPr>
        <w:pStyle w:val="ListParagraph"/>
        <w:numPr>
          <w:ilvl w:val="0"/>
          <w:numId w:val="2"/>
        </w:numPr>
      </w:pPr>
      <w:r>
        <w:t xml:space="preserve">CAF Accelerator deployment using Bicep/Terraform</w:t>
      </w:r>
    </w:p>
    <w:p>
      <w:pPr>
        <w:pStyle w:val="ListParagraph"/>
        <w:numPr>
          <w:ilvl w:val="0"/>
          <w:numId w:val="2"/>
        </w:numPr>
      </w:pPr>
      <w:r>
        <w:t xml:space="preserve">Hub-spoke network architecture with Azure Firewall</w:t>
      </w:r>
    </w:p>
    <w:p>
      <w:pPr>
        <w:pStyle w:val="ListParagraph"/>
        <w:numPr>
          <w:ilvl w:val="0"/>
          <w:numId w:val="2"/>
        </w:numPr>
      </w:pPr>
      <w:r>
        <w:t xml:space="preserve">Identity foundation (Entra ID, RBAC, PIM, Conditional Access)</w:t>
      </w:r>
    </w:p>
    <w:p>
      <w:pPr>
        <w:pStyle w:val="ListParagraph"/>
        <w:numPr>
          <w:ilvl w:val="0"/>
          <w:numId w:val="2"/>
        </w:numPr>
        <w:spacing w:after="200"/>
      </w:pPr>
      <w:r>
        <w:t xml:space="preserve">Management group hierarchy aligned with ALZ canonical architecture</w:t>
      </w:r>
    </w:p>
    <w:p>
      <w:pPr>
        <w:pStyle w:val="Heading2"/>
      </w:pPr>
      <w:r>
        <w:t xml:space="preserve">3.2 Compliance by Design Strategy (Priority 1)</w:t>
      </w:r>
    </w:p>
    <w:p>
      <w:pPr>
        <w:spacing w:after="100"/>
      </w:pPr>
      <w:r>
        <w:t xml:space="preserve">Embed regulatory compliance into platform architecture through Azure Policy, Defender for Cloud, and Purview.</w:t>
      </w:r>
    </w:p>
    <w:p>
      <w:pPr>
        <w:pStyle w:val="ListParagraph"/>
        <w:numPr>
          <w:ilvl w:val="0"/>
          <w:numId w:val="2"/>
        </w:numPr>
      </w:pPr>
      <w:r>
        <w:t xml:space="preserve">Azure Policy framework with DINE policies for automated compliance</w:t>
      </w:r>
    </w:p>
    <w:p>
      <w:pPr>
        <w:pStyle w:val="ListParagraph"/>
        <w:numPr>
          <w:ilvl w:val="0"/>
          <w:numId w:val="2"/>
        </w:numPr>
      </w:pPr>
      <w:r>
        <w:t xml:space="preserve">Microsoft Defender for Cloud with regulatory compliance dashboards</w:t>
      </w:r>
    </w:p>
    <w:p>
      <w:pPr>
        <w:pStyle w:val="ListParagraph"/>
        <w:numPr>
          <w:ilvl w:val="0"/>
          <w:numId w:val="2"/>
        </w:numPr>
      </w:pPr>
      <w:r>
        <w:t xml:space="preserve">Mapping to NIST 800-53, UK NCSC 14 Principles, ISO 27001</w:t>
      </w:r>
    </w:p>
    <w:p>
      <w:pPr>
        <w:pStyle w:val="ListParagraph"/>
        <w:numPr>
          <w:ilvl w:val="0"/>
          <w:numId w:val="2"/>
        </w:numPr>
        <w:spacing w:after="200"/>
      </w:pPr>
      <w:r>
        <w:t xml:space="preserve">Purview Compliance Manager for continuous monitoring</w:t>
      </w:r>
    </w:p>
    <w:p>
      <w:pPr>
        <w:pStyle w:val="Heading2"/>
      </w:pPr>
      <w:r>
        <w:t xml:space="preserve">3.3 Phased Capability Expansion Strategy (Priority 2)</w:t>
      </w:r>
    </w:p>
    <w:p>
      <w:pPr>
        <w:spacing w:after="100"/>
      </w:pPr>
      <w:r>
        <w:t xml:space="preserve">Enable incremental capability deployment starting with BI/Analytics, expanding to ML/AI services and advanced simulation integration.</w:t>
      </w:r>
    </w:p>
    <w:p>
      <w:pPr>
        <w:pStyle w:val="ListParagraph"/>
        <w:numPr>
          <w:ilvl w:val="0"/>
          <w:numId w:val="2"/>
        </w:numPr>
      </w:pPr>
      <w:r>
        <w:rPr>
          <w:b/>
          <w:bCs/>
        </w:rPr>
        <w:t xml:space="preserve">Phase 1: </w:t>
      </w:r>
      <w:r>
        <w:t xml:space="preserve">BI/Analytics platform (Power BI, ADLS Gen2, Synapse/Fabric)</w:t>
      </w:r>
    </w:p>
    <w:p>
      <w:pPr>
        <w:pStyle w:val="ListParagraph"/>
        <w:numPr>
          <w:ilvl w:val="0"/>
          <w:numId w:val="2"/>
        </w:numPr>
      </w:pPr>
      <w:r>
        <w:rPr>
          <w:b/>
          <w:bCs/>
        </w:rPr>
        <w:t xml:space="preserve">Phase 2: </w:t>
      </w:r>
      <w:r>
        <w:t xml:space="preserve">Simulation integration (AnyLogic, Gproms, Python models)</w:t>
      </w:r>
    </w:p>
    <w:p>
      <w:pPr>
        <w:pStyle w:val="ListParagraph"/>
        <w:numPr>
          <w:ilvl w:val="0"/>
          <w:numId w:val="2"/>
        </w:numPr>
      </w:pPr>
      <w:r>
        <w:rPr>
          <w:b/>
          <w:bCs/>
        </w:rPr>
        <w:t xml:space="preserve">Phase 3: </w:t>
      </w:r>
      <w:r>
        <w:t xml:space="preserve">ML/AI foundation (Azure ML, MLOps, model registry)</w:t>
      </w:r>
    </w:p>
    <w:p>
      <w:pPr>
        <w:pStyle w:val="ListParagraph"/>
        <w:numPr>
          <w:ilvl w:val="0"/>
          <w:numId w:val="2"/>
        </w:numPr>
        <w:spacing w:after="200"/>
      </w:pPr>
      <w:r>
        <w:rPr>
          <w:b/>
          <w:bCs/>
        </w:rPr>
        <w:t xml:space="preserve">Phase 4: </w:t>
      </w:r>
      <w:r>
        <w:t xml:space="preserve">Advanced AI (RAG, Knowledge Graphs, LLM integration)</w:t>
      </w:r>
    </w:p>
    <w:p>
      <w:pPr>
        <w:pStyle w:val="Heading2"/>
      </w:pPr>
      <w:r>
        <w:t xml:space="preserve">3.4 Lean Cost Management Strategy (Priority 2)</w:t>
      </w:r>
    </w:p>
    <w:p>
      <w:pPr>
        <w:spacing w:after="100"/>
      </w:pPr>
      <w:r>
        <w:t xml:space="preserve">Adopt lean approach to landing zone design, optimising for MVP scope while enabling platform growth.</w:t>
      </w:r>
    </w:p>
    <w:p>
      <w:pPr>
        <w:pStyle w:val="ListParagraph"/>
        <w:numPr>
          <w:ilvl w:val="0"/>
          <w:numId w:val="2"/>
        </w:numPr>
      </w:pPr>
      <w:r>
        <w:t xml:space="preserve">3-year ROI model with year 1 investment, years 2-3 recoup</w:t>
      </w:r>
    </w:p>
    <w:p>
      <w:pPr>
        <w:pStyle w:val="ListParagraph"/>
        <w:numPr>
          <w:ilvl w:val="0"/>
          <w:numId w:val="2"/>
        </w:numPr>
      </w:pPr>
      <w:r>
        <w:t xml:space="preserve">GWM migration hosting costs offset against initial investment</w:t>
      </w:r>
    </w:p>
    <w:p>
      <w:pPr>
        <w:pStyle w:val="ListParagraph"/>
        <w:numPr>
          <w:ilvl w:val="0"/>
          <w:numId w:val="2"/>
        </w:numPr>
      </w:pPr>
      <w:r>
        <w:t xml:space="preserve">Tag-based cost allocation for project chargebacks</w:t>
      </w:r>
    </w:p>
    <w:p>
      <w:pPr>
        <w:pStyle w:val="ListParagraph"/>
        <w:numPr>
          <w:ilvl w:val="0"/>
          <w:numId w:val="2"/>
        </w:numPr>
        <w:spacing w:after="200"/>
      </w:pPr>
      <w:r>
        <w:t xml:space="preserve">Platform capabilities evolved as project funding allows</w:t>
      </w:r>
    </w:p>
    <w:p>
      <w:r>
        <w:br w:type="page"/>
      </w:r>
    </w:p>
    <w:p>
      <w:pPr>
        <w:pStyle w:val="Heading1"/>
      </w:pPr>
      <w:r>
        <w:t xml:space="preserve">4. Strategic Objectives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Objective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BSC Perspective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 Delivery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ALZ MVP within timeline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8-12 weeks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Defender secure score at 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Process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Resources compliant with policies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BI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GWM Migration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GWM migration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Year 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Time-to-Value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delivery improvement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reduction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Utilisation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projects on platform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projects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r>
    </w:tbl>
    <w:p>
      <w:pPr>
        <w:spacing w:after="200"/>
      </w:pPr>
    </w:p>
    <w:p>
      <w:r>
        <w:br w:type="page"/>
      </w:r>
    </w:p>
    <w:p>
      <w:pPr>
        <w:pStyle w:val="Heading1"/>
      </w:pPr>
      <w:r>
        <w:t xml:space="preserve">5. MVP Scope Definition</w:t>
      </w:r>
    </w:p>
    <w:p>
      <w:pPr>
        <w:pStyle w:val="Heading2"/>
      </w:pPr>
      <w:r>
        <w:t xml:space="preserve">5.1 In-Scope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Components</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Maturity Target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Identity &amp; Access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Entra ID, RBAC, PIM, Conditional Access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Defined (Level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Hub-spoke, Azure Firewall, Private DNS, NSGs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 (Level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Defender for Cloud, Key Vault, Encryption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Defined (Level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 groups, Azure Policy, Naming/Tagging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 (Level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Management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Analytics, Azure Monitor, Activity Logs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Defined (Level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IaC (Bicep/Terraform), CI/CD pipeline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 (Level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allocation, Budgets, Alerts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Defined (Level 3)</w:t>
            </w:r>
          </w:p>
        </w:tc>
      </w:tr>
    </w:tbl>
    <w:p>
      <w:pPr>
        <w:spacing w:after="200"/>
      </w:pPr>
    </w:p>
    <w:p>
      <w:pPr>
        <w:pStyle w:val="Heading2"/>
      </w:pPr>
      <w:r>
        <w:t xml:space="preserve">5.2 Post-MVP Capabilities (Phased Expansion)</w:t>
      </w:r>
    </w:p>
    <w:p>
      <w:pPr>
        <w:pStyle w:val="ListParagraph"/>
        <w:numPr>
          <w:ilvl w:val="0"/>
          <w:numId w:val="2"/>
        </w:numPr>
      </w:pPr>
      <w:r>
        <w:t xml:space="preserve">Microsoft Sentinel SIEM/SOAR</w:t>
      </w:r>
    </w:p>
    <w:p>
      <w:pPr>
        <w:pStyle w:val="ListParagraph"/>
        <w:numPr>
          <w:ilvl w:val="0"/>
          <w:numId w:val="2"/>
        </w:numPr>
      </w:pPr>
      <w:r>
        <w:t xml:space="preserve">Purview Data Governance and Compliance Manager</w:t>
      </w:r>
    </w:p>
    <w:p>
      <w:pPr>
        <w:pStyle w:val="ListParagraph"/>
        <w:numPr>
          <w:ilvl w:val="0"/>
          <w:numId w:val="2"/>
        </w:numPr>
      </w:pPr>
      <w:r>
        <w:t xml:space="preserve">Azure Machine Learning workspace and MLOps</w:t>
      </w:r>
    </w:p>
    <w:p>
      <w:pPr>
        <w:pStyle w:val="ListParagraph"/>
        <w:numPr>
          <w:ilvl w:val="0"/>
          <w:numId w:val="2"/>
        </w:numPr>
      </w:pPr>
      <w:r>
        <w:t xml:space="preserve">Azure OpenAI and Cognitive Services</w:t>
      </w:r>
    </w:p>
    <w:p>
      <w:pPr>
        <w:pStyle w:val="ListParagraph"/>
        <w:numPr>
          <w:ilvl w:val="0"/>
          <w:numId w:val="2"/>
        </w:numPr>
      </w:pPr>
      <w:r>
        <w:t xml:space="preserve">Container platform (AKS/Container Apps)</w:t>
      </w:r>
    </w:p>
    <w:p>
      <w:pPr>
        <w:pStyle w:val="ListParagraph"/>
        <w:numPr>
          <w:ilvl w:val="0"/>
          <w:numId w:val="2"/>
        </w:numPr>
        <w:spacing w:after="200"/>
      </w:pPr>
      <w:r>
        <w:t xml:space="preserve">API Management</w:t>
      </w:r>
    </w:p>
    <w:p>
      <w:r>
        <w:br w:type="page"/>
      </w:r>
    </w:p>
    <w:p>
      <w:pPr>
        <w:pStyle w:val="Heading1"/>
      </w:pPr>
      <w:r>
        <w:t xml:space="preserve">6. Implementation Plan</w:t>
      </w:r>
    </w:p>
    <w:p>
      <w:pPr>
        <w:pStyle w:val="Heading2"/>
      </w:pPr>
      <w:r>
        <w:t xml:space="preserve">6.1 Phase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 Deliverables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Strategy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1-2</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requirements, cloud adoption strategy, skills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3-4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definition, subscription design, governance blueprint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Implement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5-8</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foundation, identity, network, policies, security controls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Validate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9-10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validation, network testing, compliance verification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Go-Live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11-12</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Pilot migration, team training, documentation, handover</w:t>
            </w:r>
          </w:p>
        </w:tc>
      </w:tr>
    </w:tbl>
    <w:p>
      <w:pPr>
        <w:spacing w:after="200"/>
      </w:pPr>
    </w:p>
    <w:p>
      <w:pPr>
        <w:pStyle w:val="Heading2"/>
      </w:pPr>
      <w:r>
        <w:t xml:space="preserve">6.2 Resource Requirements</w:t>
      </w:r>
    </w:p>
    <w:p>
      <w:pPr>
        <w:pStyle w:val="ListParagraph"/>
        <w:numPr>
          <w:ilvl w:val="0"/>
          <w:numId w:val="2"/>
        </w:numPr>
      </w:pPr>
      <w:r>
        <w:rPr>
          <w:b/>
          <w:bCs/>
        </w:rPr>
        <w:t xml:space="preserve">Vendor Resources: </w:t>
      </w:r>
      <w:r>
        <w:t xml:space="preserve">2-3 FTE for 8-12 weeks (Azure Architect, Security Specialist, DevOps Engineer)</w:t>
      </w:r>
    </w:p>
    <w:p>
      <w:pPr>
        <w:pStyle w:val="ListParagraph"/>
        <w:numPr>
          <w:ilvl w:val="0"/>
          <w:numId w:val="2"/>
        </w:numPr>
      </w:pPr>
      <w:r>
        <w:rPr>
          <w:b/>
          <w:bCs/>
        </w:rPr>
        <w:t xml:space="preserve">Internal Resources: </w:t>
      </w:r>
      <w:r>
        <w:t xml:space="preserve">Project sponsor, technical lead, key stakeholders (part-time)</w:t>
      </w:r>
    </w:p>
    <w:p>
      <w:pPr>
        <w:pStyle w:val="ListParagraph"/>
        <w:numPr>
          <w:ilvl w:val="0"/>
          <w:numId w:val="2"/>
        </w:numPr>
        <w:spacing w:after="200"/>
      </w:pPr>
      <w:r>
        <w:rPr>
          <w:b/>
          <w:bCs/>
        </w:rPr>
        <w:t xml:space="preserve">Azure Subscription: </w:t>
      </w:r>
      <w:r>
        <w:t xml:space="preserve">Enterprise Agreement or MCA required</w:t>
      </w:r>
    </w:p>
    <w:p>
      <w:r>
        <w:br w:type="page"/>
      </w:r>
    </w:p>
    <w:p>
      <w:pPr>
        <w:pStyle w:val="Heading1"/>
      </w:pPr>
      <w:r>
        <w:t xml:space="preserve">7. Vendor Proposal Evaluation Criteria</w:t>
      </w:r>
    </w:p>
    <w:p>
      <w:pPr>
        <w:spacing w:after="200"/>
      </w:pPr>
      <w:r>
        <w:t xml:space="preserve">Proposals will be evaluated against the following weighted criteria. Vendors must demonstrate capability across all mandatory requirements and provide evidence of relevant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060"/>
        <w:gridCol w:w="10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Mandatory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CAF Expertise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Demonstrated ALZ implementations using CAF Accelerator</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Experience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NIST 800-53, UK NCSC, ISO 27001 implementation track record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Nuclear/Regulated Sector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Experience in nuclear or similarly regulated industries</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IaC Capability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Bicep/Terraform expertise with ALZ modules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Tooling</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Defender for Cloud, Sentinel, Key Vault configuration</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Data/AI Platform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 with Azure data services and ML platforms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Timeline Feasibility</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Credible plan for 8-12 week delivery</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Effectiveness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pricing aligned with scope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Transfer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Training and documentation approach</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bl>
    <w:p>
      <w:pPr>
        <w:spacing w:after="200"/>
      </w:pPr>
    </w:p>
    <w:p>
      <w:pPr>
        <w:pStyle w:val="Heading2"/>
      </w:pPr>
      <w:r>
        <w:t xml:space="preserve">7.1 Proposal Requirements</w:t>
      </w:r>
    </w:p>
    <w:p>
      <w:r>
        <w:t xml:space="preserve">Vendors must provide:</w:t>
      </w:r>
    </w:p>
    <w:p>
      <w:pPr>
        <w:pStyle w:val="ListParagraph"/>
        <w:numPr>
          <w:ilvl w:val="0"/>
          <w:numId w:val="3"/>
        </w:numPr>
      </w:pPr>
      <w:r>
        <w:t xml:space="preserve">Executive summary with approach and value proposition</w:t>
      </w:r>
    </w:p>
    <w:p>
      <w:pPr>
        <w:pStyle w:val="ListParagraph"/>
        <w:numPr>
          <w:ilvl w:val="0"/>
          <w:numId w:val="3"/>
        </w:numPr>
      </w:pPr>
      <w:r>
        <w:t xml:space="preserve">Detailed implementation plan with weekly milestones</w:t>
      </w:r>
    </w:p>
    <w:p>
      <w:pPr>
        <w:pStyle w:val="ListParagraph"/>
        <w:numPr>
          <w:ilvl w:val="0"/>
          <w:numId w:val="3"/>
        </w:numPr>
      </w:pPr>
      <w:r>
        <w:t xml:space="preserve">Team composition and named resource CVs</w:t>
      </w:r>
    </w:p>
    <w:p>
      <w:pPr>
        <w:pStyle w:val="ListParagraph"/>
        <w:numPr>
          <w:ilvl w:val="0"/>
          <w:numId w:val="3"/>
        </w:numPr>
      </w:pPr>
      <w:r>
        <w:t xml:space="preserve">Minimum of 3 relevant case studies</w:t>
      </w:r>
    </w:p>
    <w:p>
      <w:pPr>
        <w:pStyle w:val="ListParagraph"/>
        <w:numPr>
          <w:ilvl w:val="0"/>
          <w:numId w:val="3"/>
        </w:numPr>
      </w:pPr>
      <w:r>
        <w:t xml:space="preserve">Fixed-price quotation with assumptions</w:t>
      </w:r>
    </w:p>
    <w:p>
      <w:pPr>
        <w:pStyle w:val="ListParagraph"/>
        <w:numPr>
          <w:ilvl w:val="0"/>
          <w:numId w:val="3"/>
        </w:numPr>
      </w:pPr>
      <w:r>
        <w:t xml:space="preserve">Risk register and mitigation strategies</w:t>
      </w:r>
    </w:p>
    <w:p>
      <w:pPr>
        <w:pStyle w:val="ListParagraph"/>
        <w:numPr>
          <w:ilvl w:val="0"/>
          <w:numId w:val="3"/>
        </w:numPr>
      </w:pPr>
      <w:r>
        <w:t xml:space="preserve">Quality assurance and testing approach</w:t>
      </w:r>
    </w:p>
    <w:p>
      <w:pPr>
        <w:pStyle w:val="ListParagraph"/>
        <w:numPr>
          <w:ilvl w:val="0"/>
          <w:numId w:val="3"/>
        </w:numPr>
        <w:spacing w:after="200"/>
      </w:pPr>
      <w:r>
        <w:t xml:space="preserve">Knowledge transfer and documentation plan</w:t>
      </w:r>
    </w:p>
    <w:p>
      <w:r>
        <w:br w:type="page"/>
      </w:r>
    </w:p>
    <w:p>
      <w:pPr>
        <w:pStyle w:val="Heading1"/>
      </w:pPr>
      <w:r>
        <w:t xml:space="preserve">8. Compliance &amp; Security Requirements</w:t>
      </w:r>
    </w:p>
    <w:p>
      <w:pPr>
        <w:pStyle w:val="Heading2"/>
      </w:pPr>
      <w:r>
        <w:t xml:space="preserve">8.1 Regulatory Framework Alignment</w:t>
      </w:r>
    </w:p>
    <w:p>
      <w:r>
        <w:t xml:space="preserve">The ALZ must support compliance with the following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 Requirements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NIST 800-53</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 AU, CA, CM, CP, IA, IR, MA, MP, PE, PL, PS, RA, SA, SC, SI families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NCSC 14 Principles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protection, supply chain, identity, external interfaces, audit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27001:2022</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ISMS controls, risk assessment, continuous improvement</w:t>
            </w:r>
          </w:p>
        </w:tc>
      </w:tr>
    </w:tbl>
    <w:p>
      <w:pPr>
        <w:spacing w:after="200"/>
      </w:pPr>
    </w:p>
    <w:p>
      <w:pPr>
        <w:pStyle w:val="Heading2"/>
      </w:pPr>
      <w:r>
        <w:t xml:space="preserve">8.2 Nuclear Sector Considerations</w:t>
      </w:r>
    </w:p>
    <w:p>
      <w:pPr>
        <w:pStyle w:val="ListParagraph"/>
        <w:numPr>
          <w:ilvl w:val="0"/>
          <w:numId w:val="2"/>
        </w:numPr>
      </w:pPr>
      <w:r>
        <w:t xml:space="preserve">ONR regulatory requirements awareness</w:t>
      </w:r>
    </w:p>
    <w:p>
      <w:pPr>
        <w:pStyle w:val="ListParagraph"/>
        <w:numPr>
          <w:ilvl w:val="0"/>
          <w:numId w:val="2"/>
        </w:numPr>
      </w:pPr>
      <w:r>
        <w:t xml:space="preserve">IRR17 statutory obligations for radiation data</w:t>
      </w:r>
    </w:p>
    <w:p>
      <w:pPr>
        <w:pStyle w:val="ListParagraph"/>
        <w:numPr>
          <w:ilvl w:val="0"/>
          <w:numId w:val="2"/>
        </w:numPr>
      </w:pPr>
      <w:r>
        <w:t xml:space="preserve">PII detection including radiation dose records, security clearance levels</w:t>
      </w:r>
    </w:p>
    <w:p>
      <w:pPr>
        <w:pStyle w:val="ListParagraph"/>
        <w:numPr>
          <w:ilvl w:val="0"/>
          <w:numId w:val="2"/>
        </w:numPr>
      </w:pPr>
      <w:r>
        <w:t xml:space="preserve">Data residency requirements (UK sovereignty)</w:t>
      </w:r>
    </w:p>
    <w:p>
      <w:pPr>
        <w:pStyle w:val="ListParagraph"/>
        <w:numPr>
          <w:ilvl w:val="0"/>
          <w:numId w:val="2"/>
        </w:numPr>
        <w:spacing w:after="200"/>
      </w:pPr>
      <w:r>
        <w:t xml:space="preserve">GDPR Article 9 special category data handling</w:t>
      </w:r>
    </w:p>
    <w:p>
      <w:r>
        <w:br w:type="page"/>
      </w:r>
    </w:p>
    <w:p>
      <w:pPr>
        <w:pStyle w:val="Heading1"/>
      </w:pPr>
      <w:r>
        <w:t xml:space="preserve">9. Vendor Assessment Checklist</w:t>
      </w:r>
    </w:p>
    <w:p>
      <w:pPr>
        <w:spacing w:after="200"/>
      </w:pPr>
      <w:r>
        <w:t xml:space="preserve">Use this checklist to assess vendor proposals against mandatory and desirable requirements.</w:t>
      </w:r>
    </w:p>
    <w:p>
      <w:pPr>
        <w:pStyle w:val="Heading3"/>
      </w:pPr>
      <w:r>
        <w:t xml:space="preserve">9.1 CAF &amp; ALZ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Mandatory</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Vendor Response</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CAF Accelerator deployment experience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ALZ canonical architecture understanding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Management group hierarchy design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vending process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Hub-spoke network implementation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bl>
    <w:p>
      <w:pPr>
        <w:spacing w:after="200"/>
      </w:pPr>
    </w:p>
    <w:p>
      <w:pPr>
        <w:pStyle w:val="Heading3"/>
      </w:pPr>
      <w:r>
        <w:t xml:space="preserve">9.2 Security &amp;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Mandatory</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Vendor Response</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Defender for Cloud configuration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NIST 800-53 policy mapping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UK NCSC 14 Principles alignment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 controls implementation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Vault and encryption configuration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Sentinel implementation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bl>
    <w:p>
      <w:pPr>
        <w:spacing w:after="200"/>
      </w:pPr>
    </w:p>
    <w:p>
      <w:pPr>
        <w:pStyle w:val="Heading3"/>
      </w:pPr>
      <w:r>
        <w:t xml:space="preserve">9.3 Identity &amp;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Mandatory</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Vendor Response</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Entra ID configuration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model aligned with management groups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PIM for privileged access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Access policies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Policy framework (DINE policies)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Naming and tagging standards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bl>
    <w:p>
      <w:pPr>
        <w:spacing w:after="200"/>
      </w:pPr>
    </w:p>
    <w:p>
      <w:pPr>
        <w:pStyle w:val="Heading3"/>
      </w:pPr>
      <w:r>
        <w:t xml:space="preserve">9.4 DevOps &amp; IaC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Mandatory</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Vendor Response</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Bicep or Terraform ALZ modules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implementation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management (remote backend)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GitOps practices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No</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scanning in pipeline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Yes  ☐ No</w:t>
            </w:r>
          </w:p>
        </w:tc>
      </w:tr>
    </w:tbl>
    <w:p>
      <w:pPr>
        <w:spacing w:after="200"/>
      </w:pPr>
    </w:p>
    <w:p>
      <w:r>
        <w:br w:type="page"/>
      </w:r>
    </w:p>
    <w:p>
      <w:pPr>
        <w:pStyle w:val="Heading1"/>
      </w:pPr>
      <w:r>
        <w:t xml:space="preserve">Appendices</w:t>
      </w:r>
    </w:p>
    <w:p>
      <w:pPr>
        <w:pStyle w:val="Heading2"/>
      </w:pPr>
      <w:r>
        <w:t xml:space="preserve">A. Ontology Reference</w:t>
      </w:r>
    </w:p>
    <w:p>
      <w:pPr>
        <w:spacing w:after="200"/>
      </w:pPr>
      <w:r>
        <w:t xml:space="preserve">The ALZ Assessment Ontology (alz-assessment-ontology.json) and Instance (alz-assessment-instance.json) provide machine-readable definitions of all assessment domains, criteria, and compliance control mappings. These JSON-LD files can be used for automated assessment tooling and integration with governance platforms.</w:t>
      </w:r>
    </w:p>
    <w:p>
      <w:pPr>
        <w:pStyle w:val="Heading2"/>
      </w:pPr>
      <w:r>
        <w:t xml:space="preserve">B. VSOM Strategic Framework</w:t>
      </w:r>
    </w:p>
    <w:p>
      <w:pPr>
        <w:spacing w:after="200"/>
      </w:pPr>
      <w:r>
        <w:t xml:space="preserve">The VSOM framework (alz-mvp-vsom.json) provides the complete Vision-Strategy-Objectives-Metrics cascade in JSON-LD format, enabling integration with strategic planning tools and balanced scorecard dashboards.</w:t>
      </w:r>
    </w:p>
    <w:p>
      <w:pPr>
        <w:pStyle w:val="Heading2"/>
      </w:pPr>
      <w:r>
        <w:t xml:space="preserve">C. Strategy Maps</w:t>
      </w:r>
    </w:p>
    <w:p>
      <w:pPr>
        <w:spacing w:after="200"/>
      </w:pPr>
      <w:r>
        <w:t xml:space="preserve">Mermaid diagram files are provided for: VSOM Strategy Map, Implementation Gantt Chart, Assessment Domain Structure, and BSC Cause-Effect Chain.</w:t>
      </w:r>
    </w:p>
    <w:p>
      <w:pPr>
        <w:pStyle w:val="Heading2"/>
      </w:pPr>
      <w:r>
        <w:t xml:space="preserve">D. Document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29 Jan 2025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Mission Optimisation Team</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Initial release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ALZ MVP RFP – Vision, Strategy &amp; Vendor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d5a8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2026-01-29T15:53:21.733Z</dcterms:created>
  <dcterms:modified xsi:type="dcterms:W3CDTF">2026-01-29T15:53:21.734Z</dcterms:modified>
</cp:coreProperties>
</file>

<file path=docProps/custom.xml><?xml version="1.0" encoding="utf-8"?>
<Properties xmlns="http://schemas.openxmlformats.org/officeDocument/2006/custom-properties" xmlns:vt="http://schemas.openxmlformats.org/officeDocument/2006/docPropsVTypes"/>
</file>