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PF-CORE Value Engineering OKR</w:t>
      </w:r>
    </w:p>
    <w:p>
      <w:pPr>
        <w:spacing w:after="120"/>
        <w:jc w:val="center"/>
      </w:pPr>
      <w:r>
        <w:rPr>
          <w:color w:val="4A5568"/>
          <w:sz w:val="28"/>
          <w:szCs w:val="28"/>
        </w:rPr>
        <w:t xml:space="preserve">Product Requirements Document v3.0</w:t>
      </w:r>
    </w:p>
    <w:p>
      <w:pPr>
        <w:spacing w:after="480"/>
        <w:jc w:val="center"/>
      </w:pPr>
      <w:r>
        <w:rPr>
          <w:i/>
          <w:iCs/>
          <w:color w:val="718096"/>
          <w:sz w:val="24"/>
          <w:szCs w:val="24"/>
        </w:rPr>
        <w:t xml:space="preserve">VSOM to OKR Cascade Framework for AI Visibility Optimization</w:t>
      </w:r>
    </w:p>
    <w:p>
      <w:pPr>
        <w:spacing w:after="240"/>
        <w:jc w:val="center"/>
      </w:pPr>
      <w:r>
        <w:rPr>
          <w:b/>
          <w:bCs/>
          <w:color w:val="2C5282"/>
          <w:sz w:val="26"/>
          <w:szCs w:val="26"/>
        </w:rPr>
        <w:t xml:space="preserve">PF Instance: BAIV (Be AI Visible)</w:t>
      </w:r>
    </w:p>
    <w:p>
      <w:pPr>
        <w:spacing w:after="480"/>
        <w:jc w:val="center"/>
      </w:pPr>
      <w:r>
        <w:rPr>
          <w:color w:val="718096"/>
          <w:sz w:val="20"/>
          <w:szCs w:val="20"/>
        </w:rPr>
        <w:t xml:space="preserve">Document Date: 2025-11-16</w:t>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Executive Summary</w:t>
      </w:r>
    </w:p>
    <w:p>
      <w:pPr>
        <w:spacing w:after="200"/>
      </w:pPr>
      <w:r>
        <w:t xml:space="preserve">This Product Requirements Document defines how OKR (Objectives and Key Results) functions as a critical component within the Value Engineering cascade, bridging strategic intent (VSOM) to tactical execution. The framework establishes Context Engineering patterns for domain-specific applications, with Marketing-CMO AI Visibility as the primary implementation context for PF Instance BAIV.</w:t>
      </w:r>
    </w:p>
    <w:p>
      <w:pPr>
        <w:pStyle w:val="Heading2"/>
      </w:pPr>
      <w:r>
        <w:t xml:space="preserve">1.1 Strategic Positioning</w:t>
      </w:r>
    </w:p>
    <w:p>
      <w:pPr>
        <w:spacing w:after="200"/>
      </w:pPr>
      <w:r>
        <w:t xml:space="preserve">OKR serves as the execution layer that translates high-level VSOM (Vision, Strategy, Objectives, Metrics) frameworks into actionable, measurable outcomes. Within Value Engineering, OKR provides the systematic methodology for ensuring every tactical initiative directly contributes to strategic value creation while maintaining feedback loops for continuous optimization.</w:t>
      </w:r>
    </w:p>
    <w:p>
      <w:pPr>
        <w:pStyle w:val="Heading2"/>
      </w:pPr>
      <w:r>
        <w:t xml:space="preserve">1.2 Core Value Proposition</w:t>
      </w:r>
    </w:p>
    <w:p>
      <w:pPr>
        <w:pStyle w:val="ListParagraph"/>
        <w:numPr>
          <w:ilvl w:val="0"/>
          <w:numId w:val="2"/>
        </w:numPr>
      </w:pPr>
      <w:r>
        <w:rPr>
          <w:b/>
          <w:bCs/>
        </w:rPr>
        <w:t xml:space="preserve">Strategic Alignment: </w:t>
      </w:r>
      <w:r>
        <w:t xml:space="preserve">OKR ensures every objective traces back to VSOM strategic pillars</w:t>
      </w:r>
    </w:p>
    <w:p>
      <w:pPr>
        <w:pStyle w:val="ListParagraph"/>
        <w:numPr>
          <w:ilvl w:val="0"/>
          <w:numId w:val="2"/>
        </w:numPr>
      </w:pPr>
      <w:r>
        <w:rPr>
          <w:b/>
          <w:bCs/>
        </w:rPr>
        <w:t xml:space="preserve">Context Engineering: </w:t>
      </w:r>
      <w:r>
        <w:t xml:space="preserve">Domain-specific OKRs create rich context for AI-augmented decision making</w:t>
      </w:r>
    </w:p>
    <w:p>
      <w:pPr>
        <w:pStyle w:val="ListParagraph"/>
        <w:numPr>
          <w:ilvl w:val="0"/>
          <w:numId w:val="2"/>
        </w:numPr>
      </w:pPr>
      <w:r>
        <w:rPr>
          <w:b/>
          <w:bCs/>
        </w:rPr>
        <w:t xml:space="preserve">Value Measurement: </w:t>
      </w:r>
      <w:r>
        <w:t xml:space="preserve">Key Results provide quantifiable evidence of value delivery</w:t>
      </w:r>
    </w:p>
    <w:p>
      <w:pPr>
        <w:pStyle w:val="ListParagraph"/>
        <w:numPr>
          <w:ilvl w:val="0"/>
          <w:numId w:val="2"/>
        </w:numPr>
        <w:spacing w:after="240"/>
      </w:pPr>
      <w:r>
        <w:rPr>
          <w:b/>
          <w:bCs/>
        </w:rPr>
        <w:t xml:space="preserve">Feedback Integration: </w:t>
      </w:r>
      <w:r>
        <w:t xml:space="preserve">PMF signals feed back through OKR to refine strategy</w:t>
      </w:r>
    </w:p>
    <w:p>
      <w:pPr>
        <w:pStyle w:val="Heading1"/>
      </w:pPr>
      <w:r>
        <w:t xml:space="preserve">2. Value Engineering Framework</w:t>
      </w:r>
    </w:p>
    <w:p>
      <w:pPr>
        <w:spacing w:after="200"/>
      </w:pPr>
      <w:r>
        <w:t xml:space="preserve">Value Engineering represents the systematic approach to transforming ideas into recurring revenue through strategic execution. OKR occupies a pivotal position within this framework, acting as the bridge between strategic vision and operational delivery.</w:t>
      </w:r>
    </w:p>
    <w:p>
      <w:pPr>
        <w:pStyle w:val="Heading2"/>
      </w:pPr>
      <w:r>
        <w:t xml:space="preserve">2.1 Value Engineering Hierarchy</w:t>
      </w:r>
    </w:p>
    <w:p>
      <w:pPr>
        <w:spacing w:after="120"/>
      </w:pPr>
      <w:r>
        <w:t xml:space="preserve">The Value Engineering cascade follows a structured hierarchy from corporate strategy through to tactical execution: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Layer</w:t>
            </w:r>
          </w:p>
        </w:tc>
        <w:tc>
          <w:tcPr>
            <w:tcW w:type="dxa" w:w="351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Purpose</w:t>
            </w:r>
          </w:p>
        </w:tc>
        <w:tc>
          <w:tcPr>
            <w:tcW w:type="dxa" w:w="351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OKR Integration</w:t>
            </w:r>
          </w:p>
        </w:tc>
      </w:tr>
      <w:tr>
        <w:tc>
          <w:tcPr>
            <w:tcW w:type="dxa" w:w="2340"/>
            <w:tcBorders>
              <w:top w:val="single" w:color="CCCCCC" w:sz="1"/>
              <w:left w:val="single" w:color="CCCCCC" w:sz="1"/>
              <w:bottom w:val="single" w:color="CCCCCC" w:sz="1"/>
              <w:right w:val="single" w:color="CCCCCC" w:sz="1"/>
            </w:tcBorders>
          </w:tcPr>
          <w:p>
            <w:r>
              <w:rPr>
                <w:b/>
                <w:bCs/>
              </w:rPr>
              <w:t xml:space="preserve">Corporate Strategy</w:t>
            </w:r>
          </w:p>
        </w:tc>
        <w:tc>
          <w:tcPr>
            <w:tcW w:type="dxa" w:w="3510"/>
            <w:tcBorders>
              <w:top w:val="single" w:color="CCCCCC" w:sz="1"/>
              <w:left w:val="single" w:color="CCCCCC" w:sz="1"/>
              <w:bottom w:val="single" w:color="CCCCCC" w:sz="1"/>
              <w:right w:val="single" w:color="CCCCCC" w:sz="1"/>
            </w:tcBorders>
          </w:tcPr>
          <w:p>
            <w:r>
              <w:t xml:space="preserve">Enterprise-wide strategic direction and principles</w:t>
            </w:r>
          </w:p>
        </w:tc>
        <w:tc>
          <w:tcPr>
            <w:tcW w:type="dxa" w:w="3510"/>
            <w:tcBorders>
              <w:top w:val="single" w:color="CCCCCC" w:sz="1"/>
              <w:left w:val="single" w:color="CCCCCC" w:sz="1"/>
              <w:bottom w:val="single" w:color="CCCCCC" w:sz="1"/>
              <w:right w:val="single" w:color="CCCCCC" w:sz="1"/>
            </w:tcBorders>
          </w:tcPr>
          <w:p>
            <w:r>
              <w:t xml:space="preserve">Defines strategic Objectives that OKRs must support</w:t>
            </w:r>
          </w:p>
        </w:tc>
      </w:tr>
      <w:tr>
        <w:tc>
          <w:tcPr>
            <w:tcW w:type="dxa" w:w="2340"/>
            <w:tcBorders>
              <w:top w:val="single" w:color="CCCCCC" w:sz="1"/>
              <w:left w:val="single" w:color="CCCCCC" w:sz="1"/>
              <w:bottom w:val="single" w:color="CCCCCC" w:sz="1"/>
              <w:right w:val="single" w:color="CCCCCC" w:sz="1"/>
            </w:tcBorders>
          </w:tcPr>
          <w:p>
            <w:r>
              <w:rPr>
                <w:b/>
                <w:bCs/>
              </w:rPr>
              <w:t xml:space="preserve">Functional Strategy</w:t>
            </w:r>
          </w:p>
        </w:tc>
        <w:tc>
          <w:tcPr>
            <w:tcW w:type="dxa" w:w="3510"/>
            <w:tcBorders>
              <w:top w:val="single" w:color="CCCCCC" w:sz="1"/>
              <w:left w:val="single" w:color="CCCCCC" w:sz="1"/>
              <w:bottom w:val="single" w:color="CCCCCC" w:sz="1"/>
              <w:right w:val="single" w:color="CCCCCC" w:sz="1"/>
            </w:tcBorders>
          </w:tcPr>
          <w:p>
            <w:r>
              <w:t xml:space="preserve">Domain-specific strategy (Marketing, Sales, Operations)</w:t>
            </w:r>
          </w:p>
        </w:tc>
        <w:tc>
          <w:tcPr>
            <w:tcW w:type="dxa" w:w="3510"/>
            <w:tcBorders>
              <w:top w:val="single" w:color="CCCCCC" w:sz="1"/>
              <w:left w:val="single" w:color="CCCCCC" w:sz="1"/>
              <w:bottom w:val="single" w:color="CCCCCC" w:sz="1"/>
              <w:right w:val="single" w:color="CCCCCC" w:sz="1"/>
            </w:tcBorders>
          </w:tcPr>
          <w:p>
            <w:r>
              <w:t xml:space="preserve">OKRs bridge functional strategy to tactical initiatives</w:t>
            </w:r>
          </w:p>
        </w:tc>
      </w:tr>
      <w:tr>
        <w:tc>
          <w:tcPr>
            <w:tcW w:type="dxa" w:w="2340"/>
            <w:tcBorders>
              <w:top w:val="single" w:color="CCCCCC" w:sz="1"/>
              <w:left w:val="single" w:color="CCCCCC" w:sz="1"/>
              <w:bottom w:val="single" w:color="CCCCCC" w:sz="1"/>
              <w:right w:val="single" w:color="CCCCCC" w:sz="1"/>
            </w:tcBorders>
            <w:shd w:fill="E8F4F8" w:val="clear"/>
          </w:tcPr>
          <w:p>
            <w:r>
              <w:rPr>
                <w:b/>
                <w:bCs/>
                <w:color w:val="2C5282"/>
              </w:rPr>
              <w:t xml:space="preserve">OKR Layer</w:t>
            </w:r>
          </w:p>
        </w:tc>
        <w:tc>
          <w:tcPr>
            <w:tcW w:type="dxa" w:w="3510"/>
            <w:tcBorders>
              <w:top w:val="single" w:color="CCCCCC" w:sz="1"/>
              <w:left w:val="single" w:color="CCCCCC" w:sz="1"/>
              <w:bottom w:val="single" w:color="CCCCCC" w:sz="1"/>
              <w:right w:val="single" w:color="CCCCCC" w:sz="1"/>
            </w:tcBorders>
            <w:shd w:fill="E8F4F8" w:val="clear"/>
          </w:tcPr>
          <w:p>
            <w:r>
              <w:rPr>
                <w:b/>
                <w:bCs/>
              </w:rPr>
              <w:t xml:space="preserve">Measurable objectives with quantified key results</w:t>
            </w:r>
          </w:p>
        </w:tc>
        <w:tc>
          <w:tcPr>
            <w:tcW w:type="dxa" w:w="3510"/>
            <w:tcBorders>
              <w:top w:val="single" w:color="CCCCCC" w:sz="1"/>
              <w:left w:val="single" w:color="CCCCCC" w:sz="1"/>
              <w:bottom w:val="single" w:color="CCCCCC" w:sz="1"/>
              <w:right w:val="single" w:color="CCCCCC" w:sz="1"/>
            </w:tcBorders>
            <w:shd w:fill="E8F4F8" w:val="clear"/>
          </w:tcPr>
          <w:p>
            <w:r>
              <w:rPr>
                <w:b/>
                <w:bCs/>
              </w:rPr>
              <w:t xml:space="preserve">Core execution mechanism for Value Engineering</w:t>
            </w:r>
          </w:p>
        </w:tc>
      </w:tr>
      <w:tr>
        <w:tc>
          <w:tcPr>
            <w:tcW w:type="dxa" w:w="2340"/>
            <w:tcBorders>
              <w:top w:val="single" w:color="CCCCCC" w:sz="1"/>
              <w:left w:val="single" w:color="CCCCCC" w:sz="1"/>
              <w:bottom w:val="single" w:color="CCCCCC" w:sz="1"/>
              <w:right w:val="single" w:color="CCCCCC" w:sz="1"/>
            </w:tcBorders>
          </w:tcPr>
          <w:p>
            <w:r>
              <w:rPr>
                <w:b/>
                <w:bCs/>
              </w:rPr>
              <w:t xml:space="preserve">Tactical Execution</w:t>
            </w:r>
          </w:p>
        </w:tc>
        <w:tc>
          <w:tcPr>
            <w:tcW w:type="dxa" w:w="3510"/>
            <w:tcBorders>
              <w:top w:val="single" w:color="CCCCCC" w:sz="1"/>
              <w:left w:val="single" w:color="CCCCCC" w:sz="1"/>
              <w:bottom w:val="single" w:color="CCCCCC" w:sz="1"/>
              <w:right w:val="single" w:color="CCCCCC" w:sz="1"/>
            </w:tcBorders>
          </w:tcPr>
          <w:p>
            <w:r>
              <w:t xml:space="preserve">Day-to-day initiatives and activities</w:t>
            </w:r>
          </w:p>
        </w:tc>
        <w:tc>
          <w:tcPr>
            <w:tcW w:type="dxa" w:w="3510"/>
            <w:tcBorders>
              <w:top w:val="single" w:color="CCCCCC" w:sz="1"/>
              <w:left w:val="single" w:color="CCCCCC" w:sz="1"/>
              <w:bottom w:val="single" w:color="CCCCCC" w:sz="1"/>
              <w:right w:val="single" w:color="CCCCCC" w:sz="1"/>
            </w:tcBorders>
          </w:tcPr>
          <w:p>
            <w:r>
              <w:t xml:space="preserve">Key Results decompose into tactical initiatives</w:t>
            </w:r>
          </w:p>
        </w:tc>
      </w:tr>
    </w:tbl>
    <w:p>
      <w:pPr>
        <w:spacing w:after="240"/>
      </w:pPr>
      <w:r>
        <w:t xml:space="preserve"/>
      </w:r>
    </w:p>
    <w:p>
      <w:pPr>
        <w:pStyle w:val="Heading2"/>
      </w:pPr>
      <w:r>
        <w:t xml:space="preserve">2.2 OKR as Value Engineering Component</w:t>
      </w:r>
    </w:p>
    <w:p>
      <w:pPr>
        <w:spacing w:after="200"/>
      </w:pPr>
      <w:r>
        <w:t xml:space="preserve">Within Value Engineering, OKR answers the critical questions that define value creation:</w:t>
      </w:r>
    </w:p>
    <w:p>
      <w:pPr>
        <w:pStyle w:val="ListParagraph"/>
        <w:numPr>
          <w:ilvl w:val="0"/>
          <w:numId w:val="3"/>
        </w:numPr>
      </w:pPr>
      <w:r>
        <w:rPr>
          <w:b/>
          <w:bCs/>
        </w:rPr>
        <w:t xml:space="preserve">FOR WHOM: </w:t>
      </w:r>
      <w:r>
        <w:t xml:space="preserve">Who benefits from achieving this objective?</w:t>
      </w:r>
    </w:p>
    <w:p>
      <w:pPr>
        <w:pStyle w:val="ListParagraph"/>
        <w:numPr>
          <w:ilvl w:val="0"/>
          <w:numId w:val="3"/>
        </w:numPr>
      </w:pPr>
      <w:r>
        <w:rPr>
          <w:b/>
          <w:bCs/>
        </w:rPr>
        <w:t xml:space="preserve">WHY: </w:t>
      </w:r>
      <w:r>
        <w:t xml:space="preserve">Strategic rationale linking to VSOM</w:t>
      </w:r>
    </w:p>
    <w:p>
      <w:pPr>
        <w:pStyle w:val="ListParagraph"/>
        <w:numPr>
          <w:ilvl w:val="0"/>
          <w:numId w:val="3"/>
        </w:numPr>
      </w:pPr>
      <w:r>
        <w:rPr>
          <w:b/>
          <w:bCs/>
        </w:rPr>
        <w:t xml:space="preserve">WHAT: </w:t>
      </w:r>
      <w:r>
        <w:t xml:space="preserve">Specific outcome to be achieved (Objective)</w:t>
      </w:r>
    </w:p>
    <w:p>
      <w:pPr>
        <w:pStyle w:val="ListParagraph"/>
        <w:numPr>
          <w:ilvl w:val="0"/>
          <w:numId w:val="3"/>
        </w:numPr>
      </w:pPr>
      <w:r>
        <w:rPr>
          <w:b/>
          <w:bCs/>
        </w:rPr>
        <w:t xml:space="preserve">HOW: </w:t>
      </w:r>
      <w:r>
        <w:t xml:space="preserve">Measurable indicators of success (Key Results)</w:t>
      </w:r>
    </w:p>
    <w:p>
      <w:pPr>
        <w:pStyle w:val="ListParagraph"/>
        <w:numPr>
          <w:ilvl w:val="0"/>
          <w:numId w:val="3"/>
        </w:numPr>
        <w:spacing w:after="240"/>
      </w:pPr>
      <w:r>
        <w:rPr>
          <w:b/>
          <w:bCs/>
        </w:rPr>
        <w:t xml:space="preserve">WHEN: </w:t>
      </w:r>
      <w:r>
        <w:t xml:space="preserve">Temporal milestones and deadlines</w:t>
      </w:r>
    </w:p>
    <w:p>
      <w:pPr>
        <w:pStyle w:val="Heading1"/>
      </w:pPr>
      <w:r>
        <w:t xml:space="preserve">3. VSOM to OKR Cascade Architecture</w:t>
      </w:r>
    </w:p>
    <w:p>
      <w:pPr>
        <w:spacing w:after="200"/>
      </w:pPr>
      <w:r>
        <w:t xml:space="preserve">The cascade from VSOM to OKR establishes a traceable path from strategic vision to tactical execution, ensuring every action contributes to organizational value creation.</w:t>
      </w:r>
    </w:p>
    <w:p>
      <w:pPr>
        <w:pStyle w:val="Heading2"/>
      </w:pPr>
      <w:r>
        <w:t xml:space="preserve">3.1 Cascade Flow Model</w:t>
      </w:r>
    </w:p>
    <w:p>
      <w:pPr>
        <w:spacing w:after="120"/>
      </w:pPr>
      <w:r>
        <w:t xml:space="preserve">The forward flow ensures strategic alignment while the feedback loop enables continuous refinement:</w:t>
      </w:r>
    </w:p>
    <w:p>
      <w:pPr>
        <w:spacing w:after="120"/>
      </w:pPr>
      <w:r>
        <w:rPr>
          <w:b/>
          <w:bCs/>
        </w:rPr>
        <w:t xml:space="preserve">Forward Flow: </w:t>
      </w:r>
      <w:r>
        <w:t xml:space="preserve">Vision → Strategy → Objectives → Metrics → OKR → Initiatives → PMF</w:t>
      </w:r>
    </w:p>
    <w:p>
      <w:pPr>
        <w:spacing w:after="240"/>
      </w:pPr>
      <w:r>
        <w:rPr>
          <w:b/>
          <w:bCs/>
        </w:rPr>
        <w:t xml:space="preserve">Feedback Loop: </w:t>
      </w:r>
      <w:r>
        <w:t xml:space="preserve">PMF Results → OKR Achievement → Strategy Validation → Vision Refinement</w:t>
      </w:r>
    </w:p>
    <w:p>
      <w:pPr>
        <w:pStyle w:val="Heading2"/>
      </w:pPr>
      <w:r>
        <w:t xml:space="preserve">3.2 VSOM Component Mapping to OKR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VSOM Element</w:t>
            </w:r>
          </w:p>
        </w:tc>
        <w:tc>
          <w:tcPr>
            <w:tcW w:type="dxa" w:w="351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OKR Influence</w:t>
            </w:r>
          </w:p>
        </w:tc>
        <w:tc>
          <w:tcPr>
            <w:tcW w:type="dxa" w:w="351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Example (AI Visibility)</w:t>
            </w:r>
          </w:p>
        </w:tc>
      </w:tr>
      <w:tr>
        <w:tc>
          <w:tcPr>
            <w:tcW w:type="dxa" w:w="2340"/>
            <w:tcBorders>
              <w:top w:val="single" w:color="CCCCCC" w:sz="1"/>
              <w:left w:val="single" w:color="CCCCCC" w:sz="1"/>
              <w:bottom w:val="single" w:color="CCCCCC" w:sz="1"/>
              <w:right w:val="single" w:color="CCCCCC" w:sz="1"/>
            </w:tcBorders>
          </w:tcPr>
          <w:p>
            <w:r>
              <w:rPr>
                <w:b/>
                <w:bCs/>
              </w:rPr>
              <w:t xml:space="preserve">VISION</w:t>
            </w:r>
          </w:p>
        </w:tc>
        <w:tc>
          <w:tcPr>
            <w:tcW w:type="dxa" w:w="3510"/>
            <w:tcBorders>
              <w:top w:val="single" w:color="CCCCCC" w:sz="1"/>
              <w:left w:val="single" w:color="CCCCCC" w:sz="1"/>
              <w:bottom w:val="single" w:color="CCCCCC" w:sz="1"/>
              <w:right w:val="single" w:color="CCCCCC" w:sz="1"/>
            </w:tcBorders>
          </w:tcPr>
          <w:p>
            <w:r>
              <w:t xml:space="preserve">Provides aspirational direction for ALL OKR objectives</w:t>
            </w:r>
          </w:p>
        </w:tc>
        <w:tc>
          <w:tcPr>
            <w:tcW w:type="dxa" w:w="3510"/>
            <w:tcBorders>
              <w:top w:val="single" w:color="CCCCCC" w:sz="1"/>
              <w:left w:val="single" w:color="CCCCCC" w:sz="1"/>
              <w:bottom w:val="single" w:color="CCCCCC" w:sz="1"/>
              <w:right w:val="single" w:color="CCCCCC" w:sz="1"/>
            </w:tcBorders>
          </w:tcPr>
          <w:p>
            <w:r>
              <w:t xml:space="preserve">"Become unmissable in AI-powered customer discovery"</w:t>
            </w:r>
          </w:p>
        </w:tc>
      </w:tr>
      <w:tr>
        <w:tc>
          <w:tcPr>
            <w:tcW w:type="dxa" w:w="2340"/>
            <w:tcBorders>
              <w:top w:val="single" w:color="CCCCCC" w:sz="1"/>
              <w:left w:val="single" w:color="CCCCCC" w:sz="1"/>
              <w:bottom w:val="single" w:color="CCCCCC" w:sz="1"/>
              <w:right w:val="single" w:color="CCCCCC" w:sz="1"/>
            </w:tcBorders>
          </w:tcPr>
          <w:p>
            <w:r>
              <w:rPr>
                <w:b/>
                <w:bCs/>
              </w:rPr>
              <w:t xml:space="preserve">STRATEGY</w:t>
            </w:r>
          </w:p>
        </w:tc>
        <w:tc>
          <w:tcPr>
            <w:tcW w:type="dxa" w:w="3510"/>
            <w:tcBorders>
              <w:top w:val="single" w:color="CCCCCC" w:sz="1"/>
              <w:left w:val="single" w:color="CCCCCC" w:sz="1"/>
              <w:bottom w:val="single" w:color="CCCCCC" w:sz="1"/>
              <w:right w:val="single" w:color="CCCCCC" w:sz="1"/>
            </w:tcBorders>
          </w:tcPr>
          <w:p>
            <w:r>
              <w:t xml:space="preserve">Defines strategic pillars that OKR objectives must support</w:t>
            </w:r>
          </w:p>
        </w:tc>
        <w:tc>
          <w:tcPr>
            <w:tcW w:type="dxa" w:w="3510"/>
            <w:tcBorders>
              <w:top w:val="single" w:color="CCCCCC" w:sz="1"/>
              <w:left w:val="single" w:color="CCCCCC" w:sz="1"/>
              <w:bottom w:val="single" w:color="CCCCCC" w:sz="1"/>
              <w:right w:val="single" w:color="CCCCCC" w:sz="1"/>
            </w:tcBorders>
          </w:tcPr>
          <w:p>
            <w:r>
              <w:t xml:space="preserve">Four Pillars: Content Authority, Social Graph Authority, Generated Content Authority, Platform Authority</w:t>
            </w:r>
          </w:p>
        </w:tc>
      </w:tr>
      <w:tr>
        <w:tc>
          <w:tcPr>
            <w:tcW w:type="dxa" w:w="2340"/>
            <w:tcBorders>
              <w:top w:val="single" w:color="CCCCCC" w:sz="1"/>
              <w:left w:val="single" w:color="CCCCCC" w:sz="1"/>
              <w:bottom w:val="single" w:color="CCCCCC" w:sz="1"/>
              <w:right w:val="single" w:color="CCCCCC" w:sz="1"/>
            </w:tcBorders>
          </w:tcPr>
          <w:p>
            <w:r>
              <w:rPr>
                <w:b/>
                <w:bCs/>
              </w:rPr>
              <w:t xml:space="preserve">OBJECTIVES</w:t>
            </w:r>
          </w:p>
        </w:tc>
        <w:tc>
          <w:tcPr>
            <w:tcW w:type="dxa" w:w="3510"/>
            <w:tcBorders>
              <w:top w:val="single" w:color="CCCCCC" w:sz="1"/>
              <w:left w:val="single" w:color="CCCCCC" w:sz="1"/>
              <w:bottom w:val="single" w:color="CCCCCC" w:sz="1"/>
              <w:right w:val="single" w:color="CCCCCC" w:sz="1"/>
            </w:tcBorders>
          </w:tcPr>
          <w:p>
            <w:r>
              <w:t xml:space="preserve">Translate to OKR Objectives with SMART criteria</w:t>
            </w:r>
          </w:p>
        </w:tc>
        <w:tc>
          <w:tcPr>
            <w:tcW w:type="dxa" w:w="3510"/>
            <w:tcBorders>
              <w:top w:val="single" w:color="CCCCCC" w:sz="1"/>
              <w:left w:val="single" w:color="CCCCCC" w:sz="1"/>
              <w:bottom w:val="single" w:color="CCCCCC" w:sz="1"/>
              <w:right w:val="single" w:color="CCCCCC" w:sz="1"/>
            </w:tcBorders>
          </w:tcPr>
          <w:p>
            <w:r>
              <w:t xml:space="preserve">"Establish AI Authority Leadership" (18-month objective)</w:t>
            </w:r>
          </w:p>
        </w:tc>
      </w:tr>
      <w:tr>
        <w:tc>
          <w:tcPr>
            <w:tcW w:type="dxa" w:w="2340"/>
            <w:tcBorders>
              <w:top w:val="single" w:color="CCCCCC" w:sz="1"/>
              <w:left w:val="single" w:color="CCCCCC" w:sz="1"/>
              <w:bottom w:val="single" w:color="CCCCCC" w:sz="1"/>
              <w:right w:val="single" w:color="CCCCCC" w:sz="1"/>
            </w:tcBorders>
          </w:tcPr>
          <w:p>
            <w:r>
              <w:rPr>
                <w:b/>
                <w:bCs/>
              </w:rPr>
              <w:t xml:space="preserve">METRICS</w:t>
            </w:r>
          </w:p>
        </w:tc>
        <w:tc>
          <w:tcPr>
            <w:tcW w:type="dxa" w:w="3510"/>
            <w:tcBorders>
              <w:top w:val="single" w:color="CCCCCC" w:sz="1"/>
              <w:left w:val="single" w:color="CCCCCC" w:sz="1"/>
              <w:bottom w:val="single" w:color="CCCCCC" w:sz="1"/>
              <w:right w:val="single" w:color="CCCCCC" w:sz="1"/>
            </w:tcBorders>
          </w:tcPr>
          <w:p>
            <w:r>
              <w:t xml:space="preserve">Become quantified Key Results with targets</w:t>
            </w:r>
          </w:p>
        </w:tc>
        <w:tc>
          <w:tcPr>
            <w:tcW w:type="dxa" w:w="3510"/>
            <w:tcBorders>
              <w:top w:val="single" w:color="CCCCCC" w:sz="1"/>
              <w:left w:val="single" w:color="CCCCCC" w:sz="1"/>
              <w:bottom w:val="single" w:color="CCCCCC" w:sz="1"/>
              <w:right w:val="single" w:color="CCCCCC" w:sz="1"/>
            </w:tcBorders>
          </w:tcPr>
          <w:p>
            <w:r>
              <w:t xml:space="preserve">KR1: 200+ monthly AI citations at 85% positive sentiment</w:t>
            </w:r>
          </w:p>
        </w:tc>
      </w:tr>
    </w:tbl>
    <w:p>
      <w:pPr>
        <w:spacing w:after="240"/>
      </w:pPr>
      <w:r>
        <w:t xml:space="preserve"/>
      </w:r>
    </w:p>
    <w:p>
      <w:pPr>
        <w:pStyle w:val="Heading1"/>
      </w:pPr>
      <w:r>
        <w:t xml:space="preserve">4. Marketing-CMO Domain OKR Framework</w:t>
      </w:r>
    </w:p>
    <w:p>
      <w:pPr>
        <w:spacing w:after="200"/>
      </w:pPr>
      <w:r>
        <w:t xml:space="preserve">The Marketing-CMO domain represents a critical functional strategy layer where OKRs translate marketing vision into measurable outcomes. For AI Visibility optimization, this domain becomes the primary execution context.</w:t>
      </w:r>
    </w:p>
    <w:p>
      <w:pPr>
        <w:pStyle w:val="Heading2"/>
      </w:pPr>
      <w:r>
        <w:t xml:space="preserve">4.1 CMO Strategic Lens</w:t>
      </w:r>
    </w:p>
    <w:p>
      <w:pPr>
        <w:spacing w:after="120"/>
      </w:pPr>
      <w:r>
        <w:t xml:space="preserve">The CMO perspective applies a marketing-specific lens to the VSOM framework:</w:t>
      </w:r>
    </w:p>
    <w:p>
      <w:pPr>
        <w:pStyle w:val="ListParagraph"/>
        <w:numPr>
          <w:ilvl w:val="0"/>
          <w:numId w:val="2"/>
        </w:numPr>
      </w:pPr>
      <w:r>
        <w:rPr>
          <w:b/>
          <w:bCs/>
        </w:rPr>
        <w:t xml:space="preserve">Vision of Organization: </w:t>
      </w:r>
      <w:r>
        <w:t xml:space="preserve">How does marketing contribute to organizational vision?</w:t>
      </w:r>
    </w:p>
    <w:p>
      <w:pPr>
        <w:pStyle w:val="ListParagraph"/>
        <w:numPr>
          <w:ilvl w:val="0"/>
          <w:numId w:val="2"/>
        </w:numPr>
      </w:pPr>
      <w:r>
        <w:rPr>
          <w:b/>
          <w:bCs/>
        </w:rPr>
        <w:t xml:space="preserve">Functional Strategy: </w:t>
      </w:r>
      <w:r>
        <w:t xml:space="preserve">Marketing-specific approach to achieving strategic goals</w:t>
      </w:r>
    </w:p>
    <w:p>
      <w:pPr>
        <w:pStyle w:val="ListParagraph"/>
        <w:numPr>
          <w:ilvl w:val="0"/>
          <w:numId w:val="2"/>
        </w:numPr>
      </w:pPr>
      <w:r>
        <w:rPr>
          <w:b/>
          <w:bCs/>
        </w:rPr>
        <w:t xml:space="preserve">SMART Objectives: </w:t>
      </w:r>
      <w:r>
        <w:t xml:space="preserve">Marketing OKRs with measurable key results</w:t>
      </w:r>
    </w:p>
    <w:p>
      <w:pPr>
        <w:pStyle w:val="ListParagraph"/>
        <w:numPr>
          <w:ilvl w:val="0"/>
          <w:numId w:val="2"/>
        </w:numPr>
        <w:spacing w:after="240"/>
      </w:pPr>
      <w:r>
        <w:rPr>
          <w:b/>
          <w:bCs/>
        </w:rPr>
        <w:t xml:space="preserve">Metrics: </w:t>
      </w:r>
      <w:r>
        <w:t xml:space="preserve">Marketing KPIs that feed into enterprise metrics</w:t>
      </w:r>
    </w:p>
    <w:p>
      <w:pPr>
        <w:pStyle w:val="Heading2"/>
      </w:pPr>
      <w:r>
        <w:t xml:space="preserve">4.2 High-Level Marketing OKRs</w:t>
      </w:r>
    </w:p>
    <w:p>
      <w:pPr>
        <w:spacing w:after="120"/>
      </w:pPr>
      <w:r>
        <w:rPr>
          <w:b/>
          <w:bCs/>
          <w:sz w:val="24"/>
          <w:szCs w:val="24"/>
        </w:rPr>
        <w:t xml:space="preserve">Objective 1: Brand Authority Leadership (18 months)</w:t>
      </w:r>
    </w:p>
    <w:p>
      <w:pPr>
        <w:pStyle w:val="ListParagraph"/>
        <w:numPr>
          <w:ilvl w:val="0"/>
          <w:numId w:val="2"/>
        </w:numPr>
      </w:pPr>
      <w:r>
        <w:rPr>
          <w:b/>
          <w:bCs/>
        </w:rPr>
        <w:t xml:space="preserve">KR1: </w:t>
      </w:r>
      <w:r>
        <w:t xml:space="preserve">Top-3 industry thought leader recognition</w:t>
      </w:r>
    </w:p>
    <w:p>
      <w:pPr>
        <w:pStyle w:val="ListParagraph"/>
        <w:numPr>
          <w:ilvl w:val="0"/>
          <w:numId w:val="2"/>
        </w:numPr>
      </w:pPr>
      <w:r>
        <w:rPr>
          <w:b/>
          <w:bCs/>
        </w:rPr>
        <w:t xml:space="preserve">KR2: </w:t>
      </w:r>
      <w:r>
        <w:t xml:space="preserve">10,000+ monthly organic brand mentions</w:t>
      </w:r>
    </w:p>
    <w:p>
      <w:pPr>
        <w:pStyle w:val="ListParagraph"/>
        <w:numPr>
          <w:ilvl w:val="0"/>
          <w:numId w:val="2"/>
        </w:numPr>
      </w:pPr>
      <w:r>
        <w:rPr>
          <w:b/>
          <w:bCs/>
        </w:rPr>
        <w:t xml:space="preserve">KR3: </w:t>
      </w:r>
      <w:r>
        <w:t xml:space="preserve">40% share of voice in industry conversations</w:t>
      </w:r>
    </w:p>
    <w:p>
      <w:pPr>
        <w:pStyle w:val="ListParagraph"/>
        <w:numPr>
          <w:ilvl w:val="0"/>
          <w:numId w:val="2"/>
        </w:numPr>
        <w:spacing w:after="200"/>
      </w:pPr>
      <w:r>
        <w:rPr>
          <w:b/>
          <w:bCs/>
          <w:color w:val="2C5282"/>
        </w:rPr>
        <w:t xml:space="preserve">AI Visibility Contribution: </w:t>
      </w:r>
      <w:r>
        <w:t xml:space="preserve">35% (citations, authority, voice share)</w:t>
      </w:r>
    </w:p>
    <w:p>
      <w:pPr>
        <w:spacing w:after="120"/>
      </w:pPr>
      <w:r>
        <w:rPr>
          <w:b/>
          <w:bCs/>
          <w:sz w:val="24"/>
          <w:szCs w:val="24"/>
        </w:rPr>
        <w:t xml:space="preserve">Objective 2: Customer Acquisition Optimization (12 months)</w:t>
      </w:r>
    </w:p>
    <w:p>
      <w:pPr>
        <w:pStyle w:val="ListParagraph"/>
        <w:numPr>
          <w:ilvl w:val="0"/>
          <w:numId w:val="2"/>
        </w:numPr>
      </w:pPr>
      <w:r>
        <w:rPr>
          <w:b/>
          <w:bCs/>
        </w:rPr>
        <w:t xml:space="preserve">KR1: </w:t>
      </w:r>
      <w:r>
        <w:t xml:space="preserve">150% increase in qualified leads (1,000 → 2,500 monthly)</w:t>
      </w:r>
    </w:p>
    <w:p>
      <w:pPr>
        <w:pStyle w:val="ListParagraph"/>
        <w:numPr>
          <w:ilvl w:val="0"/>
          <w:numId w:val="2"/>
        </w:numPr>
      </w:pPr>
      <w:r>
        <w:rPr>
          <w:b/>
          <w:bCs/>
        </w:rPr>
        <w:t xml:space="preserve">KR2: </w:t>
      </w:r>
      <w:r>
        <w:t xml:space="preserve">30% CAC reduction ($500 → $350)</w:t>
      </w:r>
    </w:p>
    <w:p>
      <w:pPr>
        <w:pStyle w:val="ListParagraph"/>
        <w:numPr>
          <w:ilvl w:val="0"/>
          <w:numId w:val="2"/>
        </w:numPr>
      </w:pPr>
      <w:r>
        <w:rPr>
          <w:b/>
          <w:bCs/>
        </w:rPr>
        <w:t xml:space="preserve">KR3: </w:t>
      </w:r>
      <w:r>
        <w:t xml:space="preserve">25% lead-to-customer conversion rate</w:t>
      </w:r>
    </w:p>
    <w:p>
      <w:pPr>
        <w:pStyle w:val="ListParagraph"/>
        <w:numPr>
          <w:ilvl w:val="0"/>
          <w:numId w:val="2"/>
        </w:numPr>
        <w:spacing w:after="200"/>
      </w:pPr>
      <w:r>
        <w:rPr>
          <w:b/>
          <w:bCs/>
          <w:color w:val="2C5282"/>
        </w:rPr>
        <w:t xml:space="preserve">AI Visibility Contribution: </w:t>
      </w:r>
      <w:r>
        <w:t xml:space="preserve">30% (higher quality leads, reduced costs)</w:t>
      </w:r>
    </w:p>
    <w:p>
      <w:pPr>
        <w:spacing w:after="120"/>
      </w:pPr>
      <w:r>
        <w:rPr>
          <w:b/>
          <w:bCs/>
          <w:sz w:val="24"/>
          <w:szCs w:val="24"/>
        </w:rPr>
        <w:t xml:space="preserve">Objective 3: Market Expansion (18 months)</w:t>
      </w:r>
    </w:p>
    <w:p>
      <w:pPr>
        <w:pStyle w:val="ListParagraph"/>
        <w:numPr>
          <w:ilvl w:val="0"/>
          <w:numId w:val="2"/>
        </w:numPr>
      </w:pPr>
      <w:r>
        <w:rPr>
          <w:b/>
          <w:bCs/>
        </w:rPr>
        <w:t xml:space="preserve">KR1: </w:t>
      </w:r>
      <w:r>
        <w:t xml:space="preserve">15% market share in new segment</w:t>
      </w:r>
    </w:p>
    <w:p>
      <w:pPr>
        <w:pStyle w:val="ListParagraph"/>
        <w:numPr>
          <w:ilvl w:val="0"/>
          <w:numId w:val="2"/>
        </w:numPr>
      </w:pPr>
      <w:r>
        <w:rPr>
          <w:b/>
          <w:bCs/>
        </w:rPr>
        <w:t xml:space="preserve">KR2: </w:t>
      </w:r>
      <w:r>
        <w:t xml:space="preserve">$2M ARR from new markets</w:t>
      </w:r>
    </w:p>
    <w:p>
      <w:pPr>
        <w:pStyle w:val="ListParagraph"/>
        <w:numPr>
          <w:ilvl w:val="0"/>
          <w:numId w:val="2"/>
        </w:numPr>
        <w:spacing w:after="240"/>
      </w:pPr>
      <w:r>
        <w:rPr>
          <w:b/>
          <w:bCs/>
          <w:color w:val="2C5282"/>
        </w:rPr>
        <w:t xml:space="preserve">AI Visibility Contribution: </w:t>
      </w:r>
      <w:r>
        <w:t xml:space="preserve">25% (new market authority building)</w:t>
      </w:r>
    </w:p>
    <w:p>
      <w:pPr>
        <w:pStyle w:val="Heading1"/>
      </w:pPr>
      <w:r>
        <w:t xml:space="preserve">5. AI Visibility-Specific OKRs</w:t>
      </w:r>
    </w:p>
    <w:p>
      <w:pPr>
        <w:spacing w:after="200"/>
      </w:pPr>
      <w:r>
        <w:t xml:space="preserve">These OKRs specifically target AI Visibility optimization within the Marketing domain, directly supporting BAIV's product mission and creating measurable outcomes for client organizations.</w:t>
      </w:r>
    </w:p>
    <w:p>
      <w:pPr>
        <w:pStyle w:val="Heading2"/>
      </w:pPr>
      <w:r>
        <w:t xml:space="preserve">5.1 AI Authority Establishment OKR</w:t>
      </w:r>
    </w:p>
    <w:p>
      <w:pPr>
        <w:spacing w:after="120"/>
      </w:pPr>
      <w:r>
        <w:rPr>
          <w:b/>
          <w:bCs/>
        </w:rPr>
        <w:t xml:space="preserve">Objective: </w:t>
      </w:r>
      <w:r>
        <w:t xml:space="preserve">Establish organizational authority across AI-powered discovery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3182CE" w:sz="1"/>
              <w:left w:val="single" w:color="3182CE" w:sz="1"/>
              <w:bottom w:val="single" w:color="3182CE" w:sz="1"/>
              <w:right w:val="single" w:color="3182CE" w:sz="1"/>
            </w:tcBorders>
            <w:shd w:fill="3182CE" w:val="clear"/>
          </w:tcPr>
          <w:p>
            <w:pPr>
              <w:jc w:val="center"/>
            </w:pPr>
            <w:r>
              <w:rPr>
                <w:b/>
                <w:bCs/>
                <w:color w:val="FFFFFF"/>
                <w:sz w:val="20"/>
                <w:szCs w:val="20"/>
              </w:rPr>
              <w:t xml:space="preserve">Key Result</w:t>
            </w:r>
          </w:p>
        </w:tc>
        <w:tc>
          <w:tcPr>
            <w:tcW w:type="dxa" w:w="2340"/>
            <w:tcBorders>
              <w:top w:val="single" w:color="3182CE" w:sz="1"/>
              <w:left w:val="single" w:color="3182CE" w:sz="1"/>
              <w:bottom w:val="single" w:color="3182CE" w:sz="1"/>
              <w:right w:val="single" w:color="3182CE" w:sz="1"/>
            </w:tcBorders>
            <w:shd w:fill="3182CE" w:val="clear"/>
          </w:tcPr>
          <w:p>
            <w:pPr>
              <w:jc w:val="center"/>
            </w:pPr>
            <w:r>
              <w:rPr>
                <w:b/>
                <w:bCs/>
                <w:color w:val="FFFFFF"/>
                <w:sz w:val="20"/>
                <w:szCs w:val="20"/>
              </w:rPr>
              <w:t xml:space="preserve">Baseline</w:t>
            </w:r>
          </w:p>
        </w:tc>
        <w:tc>
          <w:tcPr>
            <w:tcW w:type="dxa" w:w="2340"/>
            <w:tcBorders>
              <w:top w:val="single" w:color="3182CE" w:sz="1"/>
              <w:left w:val="single" w:color="3182CE" w:sz="1"/>
              <w:bottom w:val="single" w:color="3182CE" w:sz="1"/>
              <w:right w:val="single" w:color="3182CE" w:sz="1"/>
            </w:tcBorders>
            <w:shd w:fill="3182CE" w:val="clear"/>
          </w:tcPr>
          <w:p>
            <w:pPr>
              <w:jc w:val="center"/>
            </w:pPr>
            <w:r>
              <w:rPr>
                <w:b/>
                <w:bCs/>
                <w:color w:val="FFFFFF"/>
                <w:sz w:val="20"/>
                <w:szCs w:val="20"/>
              </w:rPr>
              <w:t xml:space="preserve">Target</w:t>
            </w:r>
          </w:p>
        </w:tc>
        <w:tc>
          <w:tcPr>
            <w:tcW w:type="dxa" w:w="2340"/>
            <w:tcBorders>
              <w:top w:val="single" w:color="3182CE" w:sz="1"/>
              <w:left w:val="single" w:color="3182CE" w:sz="1"/>
              <w:bottom w:val="single" w:color="3182CE" w:sz="1"/>
              <w:right w:val="single" w:color="3182CE" w:sz="1"/>
            </w:tcBorders>
            <w:shd w:fill="3182CE" w:val="clear"/>
          </w:tcPr>
          <w:p>
            <w:pPr>
              <w:jc w:val="center"/>
            </w:pPr>
            <w:r>
              <w:rPr>
                <w:b/>
                <w:bCs/>
                <w:color w:val="FFFFFF"/>
                <w:sz w:val="20"/>
                <w:szCs w:val="20"/>
              </w:rPr>
              <w:t xml:space="preserve">Timeline</w:t>
            </w:r>
          </w:p>
        </w:tc>
      </w:tr>
      <w:tr>
        <w:tc>
          <w:tcPr>
            <w:tcW w:type="dxa" w:w="2340"/>
            <w:tcBorders>
              <w:top w:val="single" w:color="CCCCCC" w:sz="1"/>
              <w:left w:val="single" w:color="CCCCCC" w:sz="1"/>
              <w:bottom w:val="single" w:color="CCCCCC" w:sz="1"/>
              <w:right w:val="single" w:color="CCCCCC" w:sz="1"/>
            </w:tcBorders>
          </w:tcPr>
          <w:p>
            <w:r>
              <w:t xml:space="preserve">KR1: Monthly AI citations with positive sentiment</w:t>
            </w:r>
          </w:p>
        </w:tc>
        <w:tc>
          <w:tcPr>
            <w:tcW w:type="dxa" w:w="2340"/>
            <w:tcBorders>
              <w:top w:val="single" w:color="CCCCCC" w:sz="1"/>
              <w:left w:val="single" w:color="CCCCCC" w:sz="1"/>
              <w:bottom w:val="single" w:color="CCCCCC" w:sz="1"/>
              <w:right w:val="single" w:color="CCCCCC" w:sz="1"/>
            </w:tcBorders>
          </w:tcPr>
          <w:p>
            <w:pPr>
              <w:jc w:val="center"/>
            </w:pPr>
            <w:r>
              <w:t xml:space="preserve">15 citations</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200+ at 85%</w:t>
            </w:r>
          </w:p>
        </w:tc>
        <w:tc>
          <w:tcPr>
            <w:tcW w:type="dxa" w:w="2340"/>
            <w:tcBorders>
              <w:top w:val="single" w:color="CCCCCC" w:sz="1"/>
              <w:left w:val="single" w:color="CCCCCC" w:sz="1"/>
              <w:bottom w:val="single" w:color="CCCCCC" w:sz="1"/>
              <w:right w:val="single" w:color="CCCCCC" w:sz="1"/>
            </w:tcBorders>
          </w:tcPr>
          <w:p>
            <w:pPr>
              <w:jc w:val="center"/>
            </w:pPr>
            <w:r>
              <w:t xml:space="preserve">12 months</w:t>
            </w:r>
          </w:p>
        </w:tc>
      </w:tr>
      <w:tr>
        <w:tc>
          <w:tcPr>
            <w:tcW w:type="dxa" w:w="2340"/>
            <w:tcBorders>
              <w:top w:val="single" w:color="CCCCCC" w:sz="1"/>
              <w:left w:val="single" w:color="CCCCCC" w:sz="1"/>
              <w:bottom w:val="single" w:color="CCCCCC" w:sz="1"/>
              <w:right w:val="single" w:color="CCCCCC" w:sz="1"/>
            </w:tcBorders>
          </w:tcPr>
          <w:p>
            <w:r>
              <w:t xml:space="preserve">KR2: AI platforms with top-5 rankings</w:t>
            </w:r>
          </w:p>
        </w:tc>
        <w:tc>
          <w:tcPr>
            <w:tcW w:type="dxa" w:w="2340"/>
            <w:tcBorders>
              <w:top w:val="single" w:color="CCCCCC" w:sz="1"/>
              <w:left w:val="single" w:color="CCCCCC" w:sz="1"/>
              <w:bottom w:val="single" w:color="CCCCCC" w:sz="1"/>
              <w:right w:val="single" w:color="CCCCCC" w:sz="1"/>
            </w:tcBorders>
          </w:tcPr>
          <w:p>
            <w:pPr>
              <w:jc w:val="center"/>
            </w:pPr>
            <w:r>
              <w:t xml:space="preserve">3 platforms, rank 15</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8 platforms, top-5</w:t>
            </w:r>
          </w:p>
        </w:tc>
        <w:tc>
          <w:tcPr>
            <w:tcW w:type="dxa" w:w="2340"/>
            <w:tcBorders>
              <w:top w:val="single" w:color="CCCCCC" w:sz="1"/>
              <w:left w:val="single" w:color="CCCCCC" w:sz="1"/>
              <w:bottom w:val="single" w:color="CCCCCC" w:sz="1"/>
              <w:right w:val="single" w:color="CCCCCC" w:sz="1"/>
            </w:tcBorders>
          </w:tcPr>
          <w:p>
            <w:pPr>
              <w:jc w:val="center"/>
            </w:pPr>
            <w:r>
              <w:t xml:space="preserve">12 months</w:t>
            </w:r>
          </w:p>
        </w:tc>
      </w:tr>
      <w:tr>
        <w:tc>
          <w:tcPr>
            <w:tcW w:type="dxa" w:w="2340"/>
            <w:tcBorders>
              <w:top w:val="single" w:color="CCCCCC" w:sz="1"/>
              <w:left w:val="single" w:color="CCCCCC" w:sz="1"/>
              <w:bottom w:val="single" w:color="CCCCCC" w:sz="1"/>
              <w:right w:val="single" w:color="CCCCCC" w:sz="1"/>
            </w:tcBorders>
          </w:tcPr>
          <w:p>
            <w:r>
              <w:t xml:space="preserve">KR3: AI authority score</w:t>
            </w:r>
          </w:p>
        </w:tc>
        <w:tc>
          <w:tcPr>
            <w:tcW w:type="dxa" w:w="2340"/>
            <w:tcBorders>
              <w:top w:val="single" w:color="CCCCCC" w:sz="1"/>
              <w:left w:val="single" w:color="CCCCCC" w:sz="1"/>
              <w:bottom w:val="single" w:color="CCCCCC" w:sz="1"/>
              <w:right w:val="single" w:color="CCCCCC" w:sz="1"/>
            </w:tcBorders>
          </w:tcPr>
          <w:p>
            <w:pPr>
              <w:jc w:val="center"/>
            </w:pPr>
            <w:r>
              <w:t xml:space="preserve">35/100</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85/100</w:t>
            </w:r>
          </w:p>
        </w:tc>
        <w:tc>
          <w:tcPr>
            <w:tcW w:type="dxa" w:w="2340"/>
            <w:tcBorders>
              <w:top w:val="single" w:color="CCCCCC" w:sz="1"/>
              <w:left w:val="single" w:color="CCCCCC" w:sz="1"/>
              <w:bottom w:val="single" w:color="CCCCCC" w:sz="1"/>
              <w:right w:val="single" w:color="CCCCCC" w:sz="1"/>
            </w:tcBorders>
          </w:tcPr>
          <w:p>
            <w:pPr>
              <w:jc w:val="center"/>
            </w:pPr>
            <w:r>
              <w:t xml:space="preserve">12 months</w:t>
            </w:r>
          </w:p>
        </w:tc>
      </w:tr>
    </w:tbl>
    <w:p>
      <w:pPr>
        <w:spacing w:after="240"/>
      </w:pPr>
      <w:r>
        <w:t xml:space="preserve"/>
      </w:r>
    </w:p>
    <w:p>
      <w:pPr>
        <w:pStyle w:val="Heading2"/>
      </w:pPr>
      <w:r>
        <w:t xml:space="preserve">5.2 AI-Driven Business Impact OKR</w:t>
      </w:r>
    </w:p>
    <w:p>
      <w:pPr>
        <w:spacing w:after="120"/>
      </w:pPr>
      <w:r>
        <w:rPr>
          <w:b/>
          <w:bCs/>
        </w:rPr>
        <w:t xml:space="preserve">Objective: </w:t>
      </w:r>
      <w:r>
        <w:t xml:space="preserve">Generate measurable business outcomes from AI visibility investments</w:t>
      </w:r>
    </w:p>
    <w:p>
      <w:pPr>
        <w:pStyle w:val="ListParagraph"/>
        <w:numPr>
          <w:ilvl w:val="0"/>
          <w:numId w:val="2"/>
        </w:numPr>
      </w:pPr>
      <w:r>
        <w:rPr>
          <w:b/>
          <w:bCs/>
        </w:rPr>
        <w:t xml:space="preserve">KR1: </w:t>
      </w:r>
      <w:r>
        <w:t xml:space="preserve">30% of total traffic from AI referrals (from 3% baseline)</w:t>
      </w:r>
    </w:p>
    <w:p>
      <w:pPr>
        <w:pStyle w:val="ListParagraph"/>
        <w:numPr>
          <w:ilvl w:val="0"/>
          <w:numId w:val="2"/>
        </w:numPr>
      </w:pPr>
      <w:r>
        <w:rPr>
          <w:b/>
          <w:bCs/>
        </w:rPr>
        <w:t xml:space="preserve">KR2: </w:t>
      </w:r>
      <w:r>
        <w:t xml:space="preserve">40% conversion rate on AI-referred traffic (vs 25% overall)</w:t>
      </w:r>
    </w:p>
    <w:p>
      <w:pPr>
        <w:pStyle w:val="ListParagraph"/>
        <w:numPr>
          <w:ilvl w:val="0"/>
          <w:numId w:val="2"/>
        </w:numPr>
        <w:spacing w:after="240"/>
      </w:pPr>
      <w:r>
        <w:rPr>
          <w:b/>
          <w:bCs/>
        </w:rPr>
        <w:t xml:space="preserve">KR3: </w:t>
      </w:r>
      <w:r>
        <w:t xml:space="preserve">$800K AI-attributed revenue (from $50K baseline)</w:t>
      </w:r>
    </w:p>
    <w:p>
      <w:pPr>
        <w:pStyle w:val="Heading1"/>
      </w:pPr>
      <w:r>
        <w:t xml:space="preserve">6. Context Engineering Framework</w:t>
      </w:r>
    </w:p>
    <w:p>
      <w:pPr>
        <w:spacing w:after="200"/>
      </w:pPr>
      <w:r>
        <w:t xml:space="preserve">Context Engineering creates the rich semantic environment that enables AI agents to make informed decisions. OKRs within Value Engineering provide structured context that guides AI-augmented strategic execution.</w:t>
      </w:r>
    </w:p>
    <w:p>
      <w:pPr>
        <w:pStyle w:val="Heading2"/>
      </w:pPr>
      <w:r>
        <w:t xml:space="preserve">6.1 Marketing Domain Context Layers</w:t>
      </w:r>
    </w:p>
    <w:p>
      <w:pPr>
        <w:spacing w:after="120"/>
      </w:pPr>
      <w:r>
        <w:t xml:space="preserve">The Marketing domain context encompasses multiple interconnected layers:</w:t>
      </w:r>
    </w:p>
    <w:p>
      <w:pPr>
        <w:pStyle w:val="ListParagraph"/>
        <w:numPr>
          <w:ilvl w:val="0"/>
          <w:numId w:val="4"/>
        </w:numPr>
      </w:pPr>
      <w:r>
        <w:rPr>
          <w:b/>
          <w:bCs/>
        </w:rPr>
        <w:t xml:space="preserve">Market Context: </w:t>
      </w:r>
      <w:r>
        <w:t xml:space="preserve">Industry trends, competitive landscape, demand patterns</w:t>
      </w:r>
    </w:p>
    <w:p>
      <w:pPr>
        <w:pStyle w:val="ListParagraph"/>
        <w:numPr>
          <w:ilvl w:val="0"/>
          <w:numId w:val="4"/>
        </w:numPr>
      </w:pPr>
      <w:r>
        <w:rPr>
          <w:b/>
          <w:bCs/>
        </w:rPr>
        <w:t xml:space="preserve">Organizational Context: </w:t>
      </w:r>
      <w:r>
        <w:t xml:space="preserve">Brand position, value propositions, VSOM alignment</w:t>
      </w:r>
    </w:p>
    <w:p>
      <w:pPr>
        <w:pStyle w:val="ListParagraph"/>
        <w:numPr>
          <w:ilvl w:val="0"/>
          <w:numId w:val="4"/>
        </w:numPr>
      </w:pPr>
      <w:r>
        <w:rPr>
          <w:b/>
          <w:bCs/>
        </w:rPr>
        <w:t xml:space="preserve">Competitive Context: </w:t>
      </w:r>
      <w:r>
        <w:t xml:space="preserve">Direct/indirect competitors, market positioning</w:t>
      </w:r>
    </w:p>
    <w:p>
      <w:pPr>
        <w:pStyle w:val="ListParagraph"/>
        <w:numPr>
          <w:ilvl w:val="0"/>
          <w:numId w:val="4"/>
        </w:numPr>
      </w:pPr>
      <w:r>
        <w:rPr>
          <w:b/>
          <w:bCs/>
        </w:rPr>
        <w:t xml:space="preserve">Customer Context: </w:t>
      </w:r>
      <w:r>
        <w:t xml:space="preserve">Journey stages, pain points, value perception</w:t>
      </w:r>
    </w:p>
    <w:p>
      <w:pPr>
        <w:pStyle w:val="ListParagraph"/>
        <w:numPr>
          <w:ilvl w:val="0"/>
          <w:numId w:val="4"/>
        </w:numPr>
        <w:spacing w:after="240"/>
      </w:pPr>
      <w:r>
        <w:rPr>
          <w:b/>
          <w:bCs/>
        </w:rPr>
        <w:t xml:space="preserve">AI Visibility Context: </w:t>
      </w:r>
      <w:r>
        <w:t xml:space="preserve">Platform presence, citation patterns, authority signals</w:t>
      </w:r>
    </w:p>
    <w:p>
      <w:pPr>
        <w:pStyle w:val="Heading2"/>
      </w:pPr>
      <w:r>
        <w:t xml:space="preserve">6.2 OKR Context Contribution</w:t>
      </w:r>
    </w:p>
    <w:p>
      <w:pPr>
        <w:spacing w:after="120"/>
      </w:pPr>
      <w:r>
        <w:t xml:space="preserve">Each OKR contributes structured context that informs AI agent decision-making:</w:t>
      </w:r>
    </w:p>
    <w:p>
      <w:pPr>
        <w:pStyle w:val="ListParagraph"/>
        <w:numPr>
          <w:ilvl w:val="0"/>
          <w:numId w:val="2"/>
        </w:numPr>
      </w:pPr>
      <w:r>
        <w:rPr>
          <w:b/>
          <w:bCs/>
        </w:rPr>
        <w:t xml:space="preserve">Strategic Alignment Signals: </w:t>
      </w:r>
      <w:r>
        <w:t xml:space="preserve">How objectives map to strategic pillars</w:t>
      </w:r>
    </w:p>
    <w:p>
      <w:pPr>
        <w:pStyle w:val="ListParagraph"/>
        <w:numPr>
          <w:ilvl w:val="0"/>
          <w:numId w:val="2"/>
        </w:numPr>
      </w:pPr>
      <w:r>
        <w:rPr>
          <w:b/>
          <w:bCs/>
        </w:rPr>
        <w:t xml:space="preserve">Progress Indicators: </w:t>
      </w:r>
      <w:r>
        <w:t xml:space="preserve">Current state vs target state for key results</w:t>
      </w:r>
    </w:p>
    <w:p>
      <w:pPr>
        <w:pStyle w:val="ListParagraph"/>
        <w:numPr>
          <w:ilvl w:val="0"/>
          <w:numId w:val="2"/>
        </w:numPr>
      </w:pPr>
      <w:r>
        <w:rPr>
          <w:b/>
          <w:bCs/>
        </w:rPr>
        <w:t xml:space="preserve">Temporal Context: </w:t>
      </w:r>
      <w:r>
        <w:t xml:space="preserve">Timeline, milestones, and deadline awareness</w:t>
      </w:r>
    </w:p>
    <w:p>
      <w:pPr>
        <w:pStyle w:val="ListParagraph"/>
        <w:numPr>
          <w:ilvl w:val="0"/>
          <w:numId w:val="2"/>
        </w:numPr>
      </w:pPr>
      <w:r>
        <w:rPr>
          <w:b/>
          <w:bCs/>
        </w:rPr>
        <w:t xml:space="preserve">Priority Weighting: </w:t>
      </w:r>
      <w:r>
        <w:t xml:space="preserve">Relative importance for resource allocation</w:t>
      </w:r>
    </w:p>
    <w:p>
      <w:pPr>
        <w:pStyle w:val="ListParagraph"/>
        <w:numPr>
          <w:ilvl w:val="0"/>
          <w:numId w:val="2"/>
        </w:numPr>
        <w:spacing w:after="240"/>
      </w:pPr>
      <w:r>
        <w:rPr>
          <w:b/>
          <w:bCs/>
        </w:rPr>
        <w:t xml:space="preserve">Dependency Mapping: </w:t>
      </w:r>
      <w:r>
        <w:t xml:space="preserve">Relationships between objectives and blockers</w:t>
      </w:r>
    </w:p>
    <w:p>
      <w:pPr>
        <w:pStyle w:val="Heading2"/>
      </w:pPr>
      <w:r>
        <w:t xml:space="preserve">6.3 BAIV-Specific Context Engineering</w:t>
      </w:r>
    </w:p>
    <w:p>
      <w:pPr>
        <w:spacing w:after="120"/>
      </w:pPr>
      <w:r>
        <w:t xml:space="preserve">For the BAIV PF Instance, Context Engineering optimizes client marketing strategies for AI Visibility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Context Layer</w:t>
            </w:r>
          </w:p>
        </w:tc>
        <w:tc>
          <w:tcPr>
            <w:tcW w:type="dxa" w:w="312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OKR Integration Point</w:t>
            </w:r>
          </w:p>
        </w:tc>
        <w:tc>
          <w:tcPr>
            <w:tcW w:type="dxa" w:w="312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AI Agent Utilization</w:t>
            </w:r>
          </w:p>
        </w:tc>
      </w:tr>
      <w:tr>
        <w:tc>
          <w:tcPr>
            <w:tcW w:type="dxa" w:w="3120"/>
            <w:tcBorders>
              <w:top w:val="single" w:color="CCCCCC" w:sz="1"/>
              <w:left w:val="single" w:color="CCCCCC" w:sz="1"/>
              <w:bottom w:val="single" w:color="CCCCCC" w:sz="1"/>
              <w:right w:val="single" w:color="CCCCCC" w:sz="1"/>
            </w:tcBorders>
          </w:tcPr>
          <w:p>
            <w:r>
              <w:rPr>
                <w:b/>
                <w:bCs/>
              </w:rPr>
              <w:t xml:space="preserve">Client VSOM</w:t>
            </w:r>
          </w:p>
        </w:tc>
        <w:tc>
          <w:tcPr>
            <w:tcW w:type="dxa" w:w="3120"/>
            <w:tcBorders>
              <w:top w:val="single" w:color="CCCCCC" w:sz="1"/>
              <w:left w:val="single" w:color="CCCCCC" w:sz="1"/>
              <w:bottom w:val="single" w:color="CCCCCC" w:sz="1"/>
              <w:right w:val="single" w:color="CCCCCC" w:sz="1"/>
            </w:tcBorders>
          </w:tcPr>
          <w:p>
            <w:r>
              <w:t xml:space="preserve">Strategic objectives define OKR targets</w:t>
            </w:r>
          </w:p>
        </w:tc>
        <w:tc>
          <w:tcPr>
            <w:tcW w:type="dxa" w:w="3120"/>
            <w:tcBorders>
              <w:top w:val="single" w:color="CCCCCC" w:sz="1"/>
              <w:left w:val="single" w:color="CCCCCC" w:sz="1"/>
              <w:bottom w:val="single" w:color="CCCCCC" w:sz="1"/>
              <w:right w:val="single" w:color="CCCCCC" w:sz="1"/>
            </w:tcBorders>
          </w:tcPr>
          <w:p>
            <w:r>
              <w:t xml:space="preserve">Validates AI recommendations against strategy</w:t>
            </w:r>
          </w:p>
        </w:tc>
      </w:tr>
      <w:tr>
        <w:tc>
          <w:tcPr>
            <w:tcW w:type="dxa" w:w="3120"/>
            <w:tcBorders>
              <w:top w:val="single" w:color="CCCCCC" w:sz="1"/>
              <w:left w:val="single" w:color="CCCCCC" w:sz="1"/>
              <w:bottom w:val="single" w:color="CCCCCC" w:sz="1"/>
              <w:right w:val="single" w:color="CCCCCC" w:sz="1"/>
            </w:tcBorders>
          </w:tcPr>
          <w:p>
            <w:r>
              <w:rPr>
                <w:b/>
                <w:bCs/>
              </w:rPr>
              <w:t xml:space="preserve">Competitive Landscape</w:t>
            </w:r>
          </w:p>
        </w:tc>
        <w:tc>
          <w:tcPr>
            <w:tcW w:type="dxa" w:w="3120"/>
            <w:tcBorders>
              <w:top w:val="single" w:color="CCCCCC" w:sz="1"/>
              <w:left w:val="single" w:color="CCCCCC" w:sz="1"/>
              <w:bottom w:val="single" w:color="CCCCCC" w:sz="1"/>
              <w:right w:val="single" w:color="CCCCCC" w:sz="1"/>
            </w:tcBorders>
          </w:tcPr>
          <w:p>
            <w:r>
              <w:t xml:space="preserve">Benchmark KRs against competitor performance</w:t>
            </w:r>
          </w:p>
        </w:tc>
        <w:tc>
          <w:tcPr>
            <w:tcW w:type="dxa" w:w="3120"/>
            <w:tcBorders>
              <w:top w:val="single" w:color="CCCCCC" w:sz="1"/>
              <w:left w:val="single" w:color="CCCCCC" w:sz="1"/>
              <w:bottom w:val="single" w:color="CCCCCC" w:sz="1"/>
              <w:right w:val="single" w:color="CCCCCC" w:sz="1"/>
            </w:tcBorders>
          </w:tcPr>
          <w:p>
            <w:r>
              <w:t xml:space="preserve">Identifies differentiation opportunities</w:t>
            </w:r>
          </w:p>
        </w:tc>
      </w:tr>
      <w:tr>
        <w:tc>
          <w:tcPr>
            <w:tcW w:type="dxa" w:w="3120"/>
            <w:tcBorders>
              <w:top w:val="single" w:color="CCCCCC" w:sz="1"/>
              <w:left w:val="single" w:color="CCCCCC" w:sz="1"/>
              <w:bottom w:val="single" w:color="CCCCCC" w:sz="1"/>
              <w:right w:val="single" w:color="CCCCCC" w:sz="1"/>
            </w:tcBorders>
          </w:tcPr>
          <w:p>
            <w:r>
              <w:rPr>
                <w:b/>
                <w:bCs/>
              </w:rPr>
              <w:t xml:space="preserve">AI Visibility Scores</w:t>
            </w:r>
          </w:p>
        </w:tc>
        <w:tc>
          <w:tcPr>
            <w:tcW w:type="dxa" w:w="3120"/>
            <w:tcBorders>
              <w:top w:val="single" w:color="CCCCCC" w:sz="1"/>
              <w:left w:val="single" w:color="CCCCCC" w:sz="1"/>
              <w:bottom w:val="single" w:color="CCCCCC" w:sz="1"/>
              <w:right w:val="single" w:color="CCCCCC" w:sz="1"/>
            </w:tcBorders>
          </w:tcPr>
          <w:p>
            <w:r>
              <w:t xml:space="preserve">KR baselines and progress measurement</w:t>
            </w:r>
          </w:p>
        </w:tc>
        <w:tc>
          <w:tcPr>
            <w:tcW w:type="dxa" w:w="3120"/>
            <w:tcBorders>
              <w:top w:val="single" w:color="CCCCCC" w:sz="1"/>
              <w:left w:val="single" w:color="CCCCCC" w:sz="1"/>
              <w:bottom w:val="single" w:color="CCCCCC" w:sz="1"/>
              <w:right w:val="single" w:color="CCCCCC" w:sz="1"/>
            </w:tcBorders>
          </w:tcPr>
          <w:p>
            <w:r>
              <w:t xml:space="preserve">Prioritizes optimization initiatives</w:t>
            </w:r>
          </w:p>
        </w:tc>
      </w:tr>
      <w:tr>
        <w:tc>
          <w:tcPr>
            <w:tcW w:type="dxa" w:w="3120"/>
            <w:tcBorders>
              <w:top w:val="single" w:color="CCCCCC" w:sz="1"/>
              <w:left w:val="single" w:color="CCCCCC" w:sz="1"/>
              <w:bottom w:val="single" w:color="CCCCCC" w:sz="1"/>
              <w:right w:val="single" w:color="CCCCCC" w:sz="1"/>
            </w:tcBorders>
          </w:tcPr>
          <w:p>
            <w:r>
              <w:rPr>
                <w:b/>
                <w:bCs/>
              </w:rPr>
              <w:t xml:space="preserve">Content Authority</w:t>
            </w:r>
          </w:p>
        </w:tc>
        <w:tc>
          <w:tcPr>
            <w:tcW w:type="dxa" w:w="3120"/>
            <w:tcBorders>
              <w:top w:val="single" w:color="CCCCCC" w:sz="1"/>
              <w:left w:val="single" w:color="CCCCCC" w:sz="1"/>
              <w:bottom w:val="single" w:color="CCCCCC" w:sz="1"/>
              <w:right w:val="single" w:color="CCCCCC" w:sz="1"/>
            </w:tcBorders>
          </w:tcPr>
          <w:p>
            <w:r>
              <w:t xml:space="preserve">Citation count and sentiment KRs</w:t>
            </w:r>
          </w:p>
        </w:tc>
        <w:tc>
          <w:tcPr>
            <w:tcW w:type="dxa" w:w="3120"/>
            <w:tcBorders>
              <w:top w:val="single" w:color="CCCCCC" w:sz="1"/>
              <w:left w:val="single" w:color="CCCCCC" w:sz="1"/>
              <w:bottom w:val="single" w:color="CCCCCC" w:sz="1"/>
              <w:right w:val="single" w:color="CCCCCC" w:sz="1"/>
            </w:tcBorders>
          </w:tcPr>
          <w:p>
            <w:r>
              <w:t xml:space="preserve">Generates content recommendations</w:t>
            </w:r>
          </w:p>
        </w:tc>
      </w:tr>
    </w:tbl>
    <w:p>
      <w:pPr>
        <w:spacing w:after="240"/>
      </w:pPr>
      <w:r>
        <w:t xml:space="preserve"/>
      </w:r>
    </w:p>
    <w:p>
      <w:pPr>
        <w:pStyle w:val="Heading1"/>
      </w:pPr>
      <w:r>
        <w:t xml:space="preserve">7. Ontology Schema Definition</w:t>
      </w:r>
    </w:p>
    <w:p>
      <w:pPr>
        <w:spacing w:after="200"/>
      </w:pPr>
      <w:r>
        <w:t xml:space="preserve">The OKR ontology schema integrates with the broader Value Engineering and VSOM frameworks, providing structured semantic relationships that enable AI-augmented strategic execution.</w:t>
      </w:r>
    </w:p>
    <w:p>
      <w:pPr>
        <w:pStyle w:val="Heading2"/>
      </w:pPr>
      <w:r>
        <w:t xml:space="preserve">7.1 Core OKR Entity Structure</w:t>
      </w:r>
    </w:p>
    <w:p>
      <w:pPr>
        <w:spacing w:after="120"/>
      </w:pPr>
      <w:r>
        <w:rPr>
          <w:b/>
          <w:bCs/>
        </w:rPr>
        <w:t xml:space="preserve">Entity: </w:t>
      </w:r>
      <w:r>
        <w:t xml:space="preserve">okr:ObjectiveKeyResult</w:t>
      </w:r>
    </w:p>
    <w:p>
      <w:pPr>
        <w:spacing w:after="120"/>
      </w:pPr>
      <w:r>
        <w:rPr>
          <w:b/>
          <w:bCs/>
        </w:rPr>
        <w:t xml:space="preserve">Type: </w:t>
      </w:r>
      <w:r>
        <w:t xml:space="preserve">Execution_Entity</w:t>
      </w:r>
    </w:p>
    <w:p>
      <w:pPr>
        <w:spacing w:after="120"/>
      </w:pPr>
      <w:r>
        <w:rPr>
          <w:b/>
          <w:bCs/>
        </w:rPr>
        <w:t xml:space="preserve">Schema.org Alignment: </w:t>
      </w:r>
      <w:r>
        <w:t xml:space="preserve">schema:Action, schema:DefinedTerm</w:t>
      </w:r>
    </w:p>
    <w:p>
      <w:pPr>
        <w:pStyle w:val="Heading3"/>
      </w:pPr>
      <w:r>
        <w:t xml:space="preserve">Required Attributes</w:t>
      </w:r>
    </w:p>
    <w:p>
      <w:pPr>
        <w:pStyle w:val="ListParagraph"/>
        <w:numPr>
          <w:ilvl w:val="0"/>
          <w:numId w:val="2"/>
        </w:numPr>
      </w:pPr>
      <w:r>
        <w:rPr>
          <w:b/>
          <w:bCs/>
        </w:rPr>
        <w:t xml:space="preserve">okr_id: </w:t>
      </w:r>
      <w:r>
        <w:t xml:space="preserve">Unique identifier (pattern: OKR-[DOMAIN]-[YEAR]-[SEQ])</w:t>
      </w:r>
    </w:p>
    <w:p>
      <w:pPr>
        <w:pStyle w:val="ListParagraph"/>
        <w:numPr>
          <w:ilvl w:val="0"/>
          <w:numId w:val="2"/>
        </w:numPr>
      </w:pPr>
      <w:r>
        <w:rPr>
          <w:b/>
          <w:bCs/>
        </w:rPr>
        <w:t xml:space="preserve">objective_title: </w:t>
      </w:r>
      <w:r>
        <w:t xml:space="preserve">String (max 120 characters)</w:t>
      </w:r>
    </w:p>
    <w:p>
      <w:pPr>
        <w:pStyle w:val="ListParagraph"/>
        <w:numPr>
          <w:ilvl w:val="0"/>
          <w:numId w:val="2"/>
        </w:numPr>
      </w:pPr>
      <w:r>
        <w:rPr>
          <w:b/>
          <w:bCs/>
        </w:rPr>
        <w:t xml:space="preserve">objective_description: </w:t>
      </w:r>
      <w:r>
        <w:t xml:space="preserve">Rich text description</w:t>
      </w:r>
    </w:p>
    <w:p>
      <w:pPr>
        <w:pStyle w:val="ListParagraph"/>
        <w:numPr>
          <w:ilvl w:val="0"/>
          <w:numId w:val="2"/>
        </w:numPr>
      </w:pPr>
      <w:r>
        <w:rPr>
          <w:b/>
          <w:bCs/>
        </w:rPr>
        <w:t xml:space="preserve">domain: </w:t>
      </w:r>
      <w:r>
        <w:t xml:space="preserve">Enum [Marketing, Sales, Operations, Product, Technology]</w:t>
      </w:r>
    </w:p>
    <w:p>
      <w:pPr>
        <w:pStyle w:val="ListParagraph"/>
        <w:numPr>
          <w:ilvl w:val="0"/>
          <w:numId w:val="2"/>
        </w:numPr>
      </w:pPr>
      <w:r>
        <w:rPr>
          <w:b/>
          <w:bCs/>
        </w:rPr>
        <w:t xml:space="preserve">time_horizon: </w:t>
      </w:r>
      <w:r>
        <w:t xml:space="preserve">ISO 8601 duration format</w:t>
      </w:r>
    </w:p>
    <w:p>
      <w:pPr>
        <w:pStyle w:val="ListParagraph"/>
        <w:numPr>
          <w:ilvl w:val="0"/>
          <w:numId w:val="2"/>
        </w:numPr>
        <w:spacing w:after="200"/>
      </w:pPr>
      <w:r>
        <w:rPr>
          <w:b/>
          <w:bCs/>
        </w:rPr>
        <w:t xml:space="preserve">key_results: </w:t>
      </w:r>
      <w:r>
        <w:t xml:space="preserve">Array of KeyResult objects</w:t>
      </w:r>
    </w:p>
    <w:p>
      <w:pPr>
        <w:pStyle w:val="Heading3"/>
      </w:pPr>
      <w:r>
        <w:t xml:space="preserve">KeyResult Sub-Entity</w:t>
      </w:r>
    </w:p>
    <w:p>
      <w:pPr>
        <w:pStyle w:val="ListParagraph"/>
        <w:numPr>
          <w:ilvl w:val="0"/>
          <w:numId w:val="2"/>
        </w:numPr>
      </w:pPr>
      <w:r>
        <w:rPr>
          <w:b/>
          <w:bCs/>
        </w:rPr>
        <w:t xml:space="preserve">kr_id: </w:t>
      </w:r>
      <w:r>
        <w:t xml:space="preserve">Sequential identifier within OKR</w:t>
      </w:r>
    </w:p>
    <w:p>
      <w:pPr>
        <w:pStyle w:val="ListParagraph"/>
        <w:numPr>
          <w:ilvl w:val="0"/>
          <w:numId w:val="2"/>
        </w:numPr>
      </w:pPr>
      <w:r>
        <w:rPr>
          <w:b/>
          <w:bCs/>
        </w:rPr>
        <w:t xml:space="preserve">kr_title: </w:t>
      </w:r>
      <w:r>
        <w:t xml:space="preserve">Measurable outcome statement</w:t>
      </w:r>
    </w:p>
    <w:p>
      <w:pPr>
        <w:pStyle w:val="ListParagraph"/>
        <w:numPr>
          <w:ilvl w:val="0"/>
          <w:numId w:val="2"/>
        </w:numPr>
      </w:pPr>
      <w:r>
        <w:rPr>
          <w:b/>
          <w:bCs/>
        </w:rPr>
        <w:t xml:space="preserve">baseline_value: </w:t>
      </w:r>
      <w:r>
        <w:t xml:space="preserve">Current state measurement</w:t>
      </w:r>
    </w:p>
    <w:p>
      <w:pPr>
        <w:pStyle w:val="ListParagraph"/>
        <w:numPr>
          <w:ilvl w:val="0"/>
          <w:numId w:val="2"/>
        </w:numPr>
      </w:pPr>
      <w:r>
        <w:rPr>
          <w:b/>
          <w:bCs/>
        </w:rPr>
        <w:t xml:space="preserve">target_value: </w:t>
      </w:r>
      <w:r>
        <w:t xml:space="preserve">Desired end state</w:t>
      </w:r>
    </w:p>
    <w:p>
      <w:pPr>
        <w:pStyle w:val="ListParagraph"/>
        <w:numPr>
          <w:ilvl w:val="0"/>
          <w:numId w:val="2"/>
        </w:numPr>
      </w:pPr>
      <w:r>
        <w:rPr>
          <w:b/>
          <w:bCs/>
        </w:rPr>
        <w:t xml:space="preserve">measurement_unit: </w:t>
      </w:r>
      <w:r>
        <w:t xml:space="preserve">Unit of measurement</w:t>
      </w:r>
    </w:p>
    <w:p>
      <w:pPr>
        <w:pStyle w:val="ListParagraph"/>
        <w:numPr>
          <w:ilvl w:val="0"/>
          <w:numId w:val="2"/>
        </w:numPr>
      </w:pPr>
      <w:r>
        <w:rPr>
          <w:b/>
          <w:bCs/>
        </w:rPr>
        <w:t xml:space="preserve">current_value: </w:t>
      </w:r>
      <w:r>
        <w:t xml:space="preserve">Latest measurement</w:t>
      </w:r>
    </w:p>
    <w:p>
      <w:pPr>
        <w:pStyle w:val="ListParagraph"/>
        <w:numPr>
          <w:ilvl w:val="0"/>
          <w:numId w:val="2"/>
        </w:numPr>
        <w:spacing w:after="240"/>
      </w:pPr>
      <w:r>
        <w:rPr>
          <w:b/>
          <w:bCs/>
        </w:rPr>
        <w:t xml:space="preserve">confidence_score: </w:t>
      </w:r>
      <w:r>
        <w:t xml:space="preserve">0.0-1.0 achievement probability</w:t>
      </w:r>
    </w:p>
    <w:p>
      <w:pPr>
        <w:pStyle w:val="Heading2"/>
      </w:pPr>
      <w:r>
        <w:t xml:space="preserve">7.2 Semantic Relationships</w:t>
      </w:r>
    </w:p>
    <w:p>
      <w:pPr>
        <w:pStyle w:val="ListParagraph"/>
        <w:numPr>
          <w:ilvl w:val="0"/>
          <w:numId w:val="2"/>
        </w:numPr>
      </w:pPr>
      <w:r>
        <w:rPr>
          <w:b/>
          <w:bCs/>
        </w:rPr>
        <w:t xml:space="preserve">supports: </w:t>
      </w:r>
      <w:r>
        <w:t xml:space="preserve">vsom:Strategy (mandatory relationship)</w:t>
      </w:r>
    </w:p>
    <w:p>
      <w:pPr>
        <w:pStyle w:val="ListParagraph"/>
        <w:numPr>
          <w:ilvl w:val="0"/>
          <w:numId w:val="2"/>
        </w:numPr>
      </w:pPr>
      <w:r>
        <w:rPr>
          <w:b/>
          <w:bCs/>
        </w:rPr>
        <w:t xml:space="preserve">aligns_with: </w:t>
      </w:r>
      <w:r>
        <w:t xml:space="preserve">vsom:Objectives</w:t>
      </w:r>
    </w:p>
    <w:p>
      <w:pPr>
        <w:pStyle w:val="ListParagraph"/>
        <w:numPr>
          <w:ilvl w:val="0"/>
          <w:numId w:val="2"/>
        </w:numPr>
      </w:pPr>
      <w:r>
        <w:rPr>
          <w:b/>
          <w:bCs/>
        </w:rPr>
        <w:t xml:space="preserve">measured_by: </w:t>
      </w:r>
      <w:r>
        <w:t xml:space="preserve">vsom:Metrics</w:t>
      </w:r>
    </w:p>
    <w:p>
      <w:pPr>
        <w:pStyle w:val="ListParagraph"/>
        <w:numPr>
          <w:ilvl w:val="0"/>
          <w:numId w:val="2"/>
        </w:numPr>
      </w:pPr>
      <w:r>
        <w:rPr>
          <w:b/>
          <w:bCs/>
        </w:rPr>
        <w:t xml:space="preserve">decomposes_to: </w:t>
      </w:r>
      <w:r>
        <w:t xml:space="preserve">Initiatives, Tasks</w:t>
      </w:r>
    </w:p>
    <w:p>
      <w:pPr>
        <w:pStyle w:val="ListParagraph"/>
        <w:numPr>
          <w:ilvl w:val="0"/>
          <w:numId w:val="2"/>
        </w:numPr>
      </w:pPr>
      <w:r>
        <w:rPr>
          <w:b/>
          <w:bCs/>
        </w:rPr>
        <w:t xml:space="preserve">validated_by: </w:t>
      </w:r>
      <w:r>
        <w:t xml:space="preserve">pmf:ProductMarketFit</w:t>
      </w:r>
    </w:p>
    <w:p>
      <w:pPr>
        <w:pStyle w:val="ListParagraph"/>
        <w:numPr>
          <w:ilvl w:val="0"/>
          <w:numId w:val="2"/>
        </w:numPr>
        <w:spacing w:after="240"/>
      </w:pPr>
      <w:r>
        <w:rPr>
          <w:b/>
          <w:bCs/>
        </w:rPr>
        <w:t xml:space="preserve">owned_by: </w:t>
      </w:r>
      <w:r>
        <w:t xml:space="preserve">Organization, Role</w:t>
      </w:r>
    </w:p>
    <w:p>
      <w:pPr>
        <w:pStyle w:val="Heading1"/>
      </w:pPr>
      <w:r>
        <w:t xml:space="preserve">8. Implementation Guidelines</w:t>
      </w:r>
    </w:p>
    <w:p>
      <w:pPr>
        <w:pStyle w:val="Heading2"/>
      </w:pPr>
      <w:r>
        <w:t xml:space="preserve">8.1 OKR Creation Process</w:t>
      </w:r>
    </w:p>
    <w:p>
      <w:pPr>
        <w:pStyle w:val="ListParagraph"/>
        <w:numPr>
          <w:ilvl w:val="0"/>
          <w:numId w:val="5"/>
        </w:numPr>
      </w:pPr>
      <w:r>
        <w:rPr>
          <w:b/>
          <w:bCs/>
        </w:rPr>
        <w:t xml:space="preserve">VSOM Alignment Review: </w:t>
      </w:r>
      <w:r>
        <w:t xml:space="preserve">Ensure objective maps to strategic pillars</w:t>
      </w:r>
    </w:p>
    <w:p>
      <w:pPr>
        <w:pStyle w:val="ListParagraph"/>
        <w:numPr>
          <w:ilvl w:val="0"/>
          <w:numId w:val="5"/>
        </w:numPr>
      </w:pPr>
      <w:r>
        <w:rPr>
          <w:b/>
          <w:bCs/>
        </w:rPr>
        <w:t xml:space="preserve">Baseline Establishment: </w:t>
      </w:r>
      <w:r>
        <w:t xml:space="preserve">Measure current state for all key results</w:t>
      </w:r>
    </w:p>
    <w:p>
      <w:pPr>
        <w:pStyle w:val="ListParagraph"/>
        <w:numPr>
          <w:ilvl w:val="0"/>
          <w:numId w:val="5"/>
        </w:numPr>
      </w:pPr>
      <w:r>
        <w:rPr>
          <w:b/>
          <w:bCs/>
        </w:rPr>
        <w:t xml:space="preserve">Target Definition: </w:t>
      </w:r>
      <w:r>
        <w:t xml:space="preserve">Set ambitious but achievable targets</w:t>
      </w:r>
    </w:p>
    <w:p>
      <w:pPr>
        <w:pStyle w:val="ListParagraph"/>
        <w:numPr>
          <w:ilvl w:val="0"/>
          <w:numId w:val="5"/>
        </w:numPr>
      </w:pPr>
      <w:r>
        <w:rPr>
          <w:b/>
          <w:bCs/>
        </w:rPr>
        <w:t xml:space="preserve">Context Integration: </w:t>
      </w:r>
      <w:r>
        <w:t xml:space="preserve">Map OKR to domain context layers</w:t>
      </w:r>
    </w:p>
    <w:p>
      <w:pPr>
        <w:pStyle w:val="ListParagraph"/>
        <w:numPr>
          <w:ilvl w:val="0"/>
          <w:numId w:val="5"/>
        </w:numPr>
      </w:pPr>
      <w:r>
        <w:rPr>
          <w:b/>
          <w:bCs/>
        </w:rPr>
        <w:t xml:space="preserve">Stakeholder Assignment: </w:t>
      </w:r>
      <w:r>
        <w:t xml:space="preserve">Define RACI for each objective</w:t>
      </w:r>
    </w:p>
    <w:p>
      <w:pPr>
        <w:pStyle w:val="ListParagraph"/>
        <w:numPr>
          <w:ilvl w:val="0"/>
          <w:numId w:val="5"/>
        </w:numPr>
        <w:spacing w:after="240"/>
      </w:pPr>
      <w:r>
        <w:rPr>
          <w:b/>
          <w:bCs/>
        </w:rPr>
        <w:t xml:space="preserve">Progress Tracking Setup: </w:t>
      </w:r>
      <w:r>
        <w:t xml:space="preserve">Establish measurement cadence</w:t>
      </w:r>
    </w:p>
    <w:p>
      <w:pPr>
        <w:pStyle w:val="Heading2"/>
      </w:pPr>
      <w:r>
        <w:t xml:space="preserve">8.2 Review and Governance</w:t>
      </w:r>
    </w:p>
    <w:p>
      <w:pPr>
        <w:pStyle w:val="ListParagraph"/>
        <w:numPr>
          <w:ilvl w:val="0"/>
          <w:numId w:val="2"/>
        </w:numPr>
      </w:pPr>
      <w:r>
        <w:rPr>
          <w:b/>
          <w:bCs/>
        </w:rPr>
        <w:t xml:space="preserve">Weekly Check-ins: </w:t>
      </w:r>
      <w:r>
        <w:t xml:space="preserve">Tactical performance and adjustments</w:t>
      </w:r>
    </w:p>
    <w:p>
      <w:pPr>
        <w:pStyle w:val="ListParagraph"/>
        <w:numPr>
          <w:ilvl w:val="0"/>
          <w:numId w:val="2"/>
        </w:numPr>
      </w:pPr>
      <w:r>
        <w:rPr>
          <w:b/>
          <w:bCs/>
        </w:rPr>
        <w:t xml:space="preserve">Monthly Milestone Reviews: </w:t>
      </w:r>
      <w:r>
        <w:t xml:space="preserve">Strategic progress and optimization</w:t>
      </w:r>
    </w:p>
    <w:p>
      <w:pPr>
        <w:pStyle w:val="ListParagraph"/>
        <w:numPr>
          <w:ilvl w:val="0"/>
          <w:numId w:val="2"/>
        </w:numPr>
      </w:pPr>
      <w:r>
        <w:rPr>
          <w:b/>
          <w:bCs/>
        </w:rPr>
        <w:t xml:space="preserve">Quarterly Strategic Reviews: </w:t>
      </w:r>
      <w:r>
        <w:t xml:space="preserve">Major decisions and pivots</w:t>
      </w:r>
    </w:p>
    <w:p>
      <w:pPr>
        <w:pStyle w:val="ListParagraph"/>
        <w:numPr>
          <w:ilvl w:val="0"/>
          <w:numId w:val="2"/>
        </w:numPr>
        <w:spacing w:after="240"/>
      </w:pPr>
      <w:r>
        <w:rPr>
          <w:b/>
          <w:bCs/>
        </w:rPr>
        <w:t xml:space="preserve">Annual VSOM Alignment: </w:t>
      </w:r>
      <w:r>
        <w:t xml:space="preserve">Full cascade validation</w:t>
      </w:r>
    </w:p>
    <w:p>
      <w:pPr>
        <w:pStyle w:val="Heading2"/>
      </w:pPr>
      <w:r>
        <w:t xml:space="preserve">8.3 Early Warning Systems</w:t>
      </w:r>
    </w:p>
    <w:p>
      <w:pPr>
        <w:pStyle w:val="ListParagraph"/>
        <w:numPr>
          <w:ilvl w:val="0"/>
          <w:numId w:val="2"/>
        </w:numPr>
      </w:pPr>
      <w:r>
        <w:rPr>
          <w:b/>
          <w:bCs/>
        </w:rPr>
        <w:t xml:space="preserve">Red Flag Indicators: </w:t>
      </w:r>
      <w:r>
        <w:t xml:space="preserve">20% citation decline, conversion rate drops</w:t>
      </w:r>
    </w:p>
    <w:p>
      <w:pPr>
        <w:pStyle w:val="ListParagraph"/>
        <w:numPr>
          <w:ilvl w:val="0"/>
          <w:numId w:val="2"/>
        </w:numPr>
        <w:spacing w:after="240"/>
      </w:pPr>
      <w:r>
        <w:rPr>
          <w:b/>
          <w:bCs/>
        </w:rPr>
        <w:t xml:space="preserve">Response Protocols: </w:t>
      </w:r>
      <w:r>
        <w:t xml:space="preserve">Minor (1 week), Major (72 hours), Critical (24 hours)</w:t>
      </w:r>
    </w:p>
    <w:p>
      <w:pPr>
        <w:pStyle w:val="Heading1"/>
      </w:pPr>
      <w:r>
        <w:t xml:space="preserve">9. Success Metrics and PMF Integration</w:t>
      </w:r>
    </w:p>
    <w:p>
      <w:pPr>
        <w:spacing w:after="200"/>
      </w:pPr>
      <w:r>
        <w:t xml:space="preserve">OKR achievement directly feeds into Product-Market Fit validation, creating a closed-loop system for continuous improvement.</w:t>
      </w:r>
    </w:p>
    <w:p>
      <w:pPr>
        <w:pStyle w:val="Heading2"/>
      </w:pPr>
      <w:r>
        <w:t xml:space="preserve">9.1 PMF Validation Through OKR</w:t>
      </w:r>
    </w:p>
    <w:p>
      <w:pPr>
        <w:pStyle w:val="ListParagraph"/>
        <w:numPr>
          <w:ilvl w:val="0"/>
          <w:numId w:val="2"/>
        </w:numPr>
      </w:pPr>
      <w:r>
        <w:rPr>
          <w:b/>
          <w:bCs/>
        </w:rPr>
        <w:t xml:space="preserve">PMF validates Strategy: </w:t>
      </w:r>
      <w:r>
        <w:t xml:space="preserve">OKR achievement proves strategic direction</w:t>
      </w:r>
    </w:p>
    <w:p>
      <w:pPr>
        <w:pStyle w:val="ListParagraph"/>
        <w:numPr>
          <w:ilvl w:val="0"/>
          <w:numId w:val="2"/>
        </w:numPr>
      </w:pPr>
      <w:r>
        <w:rPr>
          <w:b/>
          <w:bCs/>
        </w:rPr>
        <w:t xml:space="preserve">PMF proves Objectives: </w:t>
      </w:r>
      <w:r>
        <w:t xml:space="preserve">Market response confirms objective relevance</w:t>
      </w:r>
    </w:p>
    <w:p>
      <w:pPr>
        <w:pStyle w:val="ListParagraph"/>
        <w:numPr>
          <w:ilvl w:val="0"/>
          <w:numId w:val="2"/>
        </w:numPr>
      </w:pPr>
      <w:r>
        <w:rPr>
          <w:b/>
          <w:bCs/>
        </w:rPr>
        <w:t xml:space="preserve">PMF updates Metrics: </w:t>
      </w:r>
      <w:r>
        <w:t xml:space="preserve">Real-world performance refines measurement</w:t>
      </w:r>
    </w:p>
    <w:p>
      <w:pPr>
        <w:pStyle w:val="ListParagraph"/>
        <w:numPr>
          <w:ilvl w:val="0"/>
          <w:numId w:val="2"/>
        </w:numPr>
        <w:spacing w:after="240"/>
      </w:pPr>
      <w:r>
        <w:rPr>
          <w:b/>
          <w:bCs/>
        </w:rPr>
        <w:t xml:space="preserve">PMF insights adjust Vision: </w:t>
      </w:r>
      <w:r>
        <w:t xml:space="preserve">Fundamental market learning may shift aspirations</w:t>
      </w:r>
    </w:p>
    <w:p>
      <w:pPr>
        <w:pStyle w:val="Heading2"/>
      </w:pPr>
      <w:r>
        <w:t xml:space="preserve">9.2 BAIV Product Goal Alignment</w:t>
      </w:r>
    </w:p>
    <w:p>
      <w:pPr>
        <w:spacing w:after="120"/>
      </w:pPr>
      <w:r>
        <w:t xml:space="preserve">For BAIV's goal of 100 Paying Clients with PMF wired for feedback engagement:</w:t>
      </w:r>
    </w:p>
    <w:p>
      <w:pPr>
        <w:pStyle w:val="ListParagraph"/>
        <w:numPr>
          <w:ilvl w:val="0"/>
          <w:numId w:val="6"/>
        </w:numPr>
      </w:pPr>
      <w:r>
        <w:t xml:space="preserve">Each client's OKR framework provides structured feedback data</w:t>
      </w:r>
    </w:p>
    <w:p>
      <w:pPr>
        <w:pStyle w:val="ListParagraph"/>
        <w:numPr>
          <w:ilvl w:val="0"/>
          <w:numId w:val="6"/>
        </w:numPr>
      </w:pPr>
      <w:r>
        <w:t xml:space="preserve">OKR achievement rates across client base indicate product-market fit</w:t>
      </w:r>
    </w:p>
    <w:p>
      <w:pPr>
        <w:pStyle w:val="ListParagraph"/>
        <w:numPr>
          <w:ilvl w:val="0"/>
          <w:numId w:val="6"/>
        </w:numPr>
      </w:pPr>
      <w:r>
        <w:t xml:space="preserve">Context Engineering quality improves with each client implementation</w:t>
      </w:r>
    </w:p>
    <w:p>
      <w:pPr>
        <w:pStyle w:val="ListParagraph"/>
        <w:numPr>
          <w:ilvl w:val="0"/>
          <w:numId w:val="6"/>
        </w:numPr>
        <w:spacing w:after="240"/>
      </w:pPr>
      <w:r>
        <w:t xml:space="preserve">Marketing domain OKRs serve as template for rapid client onboarding</w:t>
      </w:r>
    </w:p>
    <w:p>
      <w:pPr>
        <w:pStyle w:val="Heading1"/>
      </w:pPr>
      <w:r>
        <w:t xml:space="preserve">Appendix A: Strategic Alignment Cascade</w:t>
      </w:r>
    </w:p>
    <w:p>
      <w:pPr>
        <w:spacing w:after="120"/>
      </w:pPr>
      <w:r>
        <w:t xml:space="preserve">Corporate Strategy (Market Leadership)</w:t>
      </w:r>
    </w:p>
    <w:p>
      <w:pPr>
        <w:spacing w:after="120"/>
        <w:ind w:left="720"/>
      </w:pPr>
      <w:r>
        <w:t xml:space="preserve">├── Marketing Strategy (Brand Authority + Customer Acquisition)</w:t>
      </w:r>
    </w:p>
    <w:p>
      <w:pPr>
        <w:spacing w:after="120"/>
        <w:ind w:left="1440"/>
      </w:pPr>
      <w:r>
        <w:t xml:space="preserve">├── AI Visibility Strategy (35% brand contribution, 30% acquisition)</w:t>
      </w:r>
    </w:p>
    <w:p>
      <w:pPr>
        <w:spacing w:after="120"/>
        <w:ind w:left="2160"/>
      </w:pPr>
      <w:r>
        <w:t xml:space="preserve">├── Foundation Phase (Q1): Basic optimization</w:t>
      </w:r>
    </w:p>
    <w:p>
      <w:pPr>
        <w:spacing w:after="120"/>
        <w:ind w:left="2160"/>
      </w:pPr>
      <w:r>
        <w:t xml:space="preserve">├── Acceleration Phase (Q2-Q3): Multi-platform presence</w:t>
      </w:r>
    </w:p>
    <w:p>
      <w:pPr>
        <w:spacing w:after="120"/>
        <w:ind w:left="2160"/>
      </w:pPr>
      <w:r>
        <w:t xml:space="preserve">├── Enhancement Phase (Q4-Q1): Authority building</w:t>
      </w:r>
    </w:p>
    <w:p>
      <w:pPr>
        <w:spacing w:after="240"/>
        <w:ind w:left="2160"/>
      </w:pPr>
      <w:r>
        <w:t xml:space="preserve">└── Innovation Phase (Q2-Q4): Market leadership</w:t>
      </w:r>
    </w:p>
    <w:p>
      <w:pPr>
        <w:spacing w:before="480"/>
        <w:jc w:val="center"/>
      </w:pPr>
      <w:r>
        <w:rPr>
          <w:color w:val="718096"/>
          <w:sz w:val="20"/>
          <w:szCs w:val="20"/>
        </w:rPr>
        <w:t xml:space="preserve">--- End of Document ---</w:t>
      </w:r>
    </w:p>
    <w:p>
      <w:pPr>
        <w:spacing w:after="240"/>
        <w:jc w:val="center"/>
      </w:pPr>
      <w:r>
        <w:rPr>
          <w:color w:val="A0AEC0"/>
          <w:sz w:val="18"/>
          <w:szCs w:val="18"/>
        </w:rPr>
        <w:t xml:space="preserve">PF-CORE-ValueEngineering-OKR PRD v3.0 | BAIV AI Visibility Platform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PF-CORE-ValueEngineering-OKR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C5282"/>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3182C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2025-11-16T18:11:05.393Z</dcterms:created>
  <dcterms:modified xsi:type="dcterms:W3CDTF">2025-11-16T18:11:05.393Z</dcterms:modified>
</cp:coreProperties>
</file>

<file path=docProps/custom.xml><?xml version="1.0" encoding="utf-8"?>
<Properties xmlns="http://schemas.openxmlformats.org/officeDocument/2006/custom-properties" xmlns:vt="http://schemas.openxmlformats.org/officeDocument/2006/docPropsVTypes"/>
</file>