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ea-programme-project-team-proposal"/>
    <w:p>
      <w:pPr>
        <w:pStyle w:val="Heading1"/>
      </w:pPr>
      <w:r>
        <w:t xml:space="preserve">EA Programme — Project Team Proposal</w:t>
      </w:r>
    </w:p>
    <w:bookmarkStart w:id="9" w:name="X6a3cf9073f2a886716504f86fa92493dc3d0c35"/>
    <w:p>
      <w:pPr>
        <w:pStyle w:val="Heading2"/>
      </w:pPr>
      <w:r>
        <w:t xml:space="preserve">Enterprise Architecture &amp; AI Strategy: Workshop, Design Assignment, and Programme Delivery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EA Programme — Project Team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Reference</w:t>
            </w:r>
          </w:p>
        </w:tc>
        <w:tc>
          <w:tcPr/>
          <w:p>
            <w:pPr>
              <w:pStyle w:val="Compact"/>
            </w:pPr>
            <w:r>
              <w:t xml:space="preserve">EA-PPM-PT-2026-001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05 February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Commercial in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15 Days — Fixed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£15,000 All-In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vsom-direction-setting"/>
    <w:p>
      <w:pPr>
        <w:pStyle w:val="Heading2"/>
      </w:pPr>
      <w:r>
        <w:t xml:space="preserve">VSOM: Direction Setting</w:t>
      </w:r>
    </w:p>
    <w:bookmarkStart w:id="10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rPr>
          <w:b/>
          <w:bCs/>
        </w:rPr>
        <w:t xml:space="preserve">AI-Augmented Professional Services Excellence</w:t>
      </w:r>
      <w:r>
        <w:t xml:space="preserve"> </w:t>
      </w:r>
      <w:r>
        <w:t xml:space="preserve">— a mid-market insurance broker transformed from manual, siloed operations into a data-driven, AI-augmented, compliance-assured organisation that delivers superior client outcomes through intelligent automation, connected knowledge, and governed innovation.</w:t>
      </w:r>
    </w:p>
    <w:bookmarkEnd w:id="10"/>
    <w:bookmarkStart w:id="11" w:name="strategy"/>
    <w:p>
      <w:pPr>
        <w:pStyle w:val="Heading3"/>
      </w:pPr>
      <w:r>
        <w:t xml:space="preserve">Strategy</w:t>
      </w:r>
    </w:p>
    <w:p>
      <w:pPr>
        <w:pStyle w:val="FirstParagraph"/>
      </w:pPr>
      <w:r>
        <w:t xml:space="preserve">Deliver the Enterprise Architecture that bridges strategy to execution across three progressive pillars — Foundational Infrastructure, AI Augmentation, and Acceleration with Gen AI — using TOGAF ADM (fast-tracked), ontology-driven modelling, and AI-assisted tooling within a lean, close-knit team structure governed through the SA → EA → CTO hierarchy.</w:t>
      </w:r>
    </w:p>
    <w:bookmarkEnd w:id="11"/>
    <w:bookmarkStart w:id="12" w:name="objectives"/>
    <w:p>
      <w:pPr>
        <w:pStyle w:val="Heading3"/>
      </w:pPr>
      <w:r>
        <w:t xml:space="preserve">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3004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BSC Alignment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Establish the shared architectural vision and model across all stakeholders</w:t>
            </w:r>
          </w:p>
        </w:tc>
        <w:tc>
          <w:tcPr/>
          <w:p>
            <w:pPr>
              <w:pStyle w:val="Compact"/>
            </w:pPr>
            <w:r>
              <w:t xml:space="preserve">Phase A (Vision)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Complete the EA design across four capability layers (Business, Information, AI, Technology)</w:t>
            </w:r>
          </w:p>
        </w:tc>
        <w:tc>
          <w:tcPr/>
          <w:p>
            <w:pPr>
              <w:pStyle w:val="Compact"/>
            </w:pPr>
            <w:r>
              <w:t xml:space="preserve">L2,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Specify the Enterprise Graph as the foundational information architecture</w:t>
            </w:r>
          </w:p>
        </w:tc>
        <w:tc>
          <w:tcPr/>
          <w:p>
            <w:pPr>
              <w:pStyle w:val="Compact"/>
            </w:pPr>
            <w:r>
              <w:t xml:space="preserve">L2, L3, 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Translate the AI Strategy Programme (50+ initiatives) into a structured, sequenced programme</w:t>
            </w:r>
          </w:p>
        </w:tc>
        <w:tc>
          <w:tcPr/>
          <w:p>
            <w:pPr>
              <w:pStyle w:val="Compact"/>
            </w:pPr>
            <w:r>
              <w:t xml:space="preserve">P1, F2, 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Establish AI governance and the agentic layer architecture for safe, scalable augmentation</w:t>
            </w:r>
          </w:p>
        </w:tc>
        <w:tc>
          <w:tcPr/>
          <w:p>
            <w:pPr>
              <w:pStyle w:val="Compact"/>
            </w:pPr>
            <w:r>
              <w:t xml:space="preserve">P3, L1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t xml:space="preserve">Quantify the manual process reduction path (60% → &lt;=20%)</w:t>
            </w:r>
          </w:p>
        </w:tc>
        <w:tc>
          <w:tcPr/>
          <w:p>
            <w:pPr>
              <w:pStyle w:val="Compact"/>
            </w:pPr>
            <w:r>
              <w:t xml:space="preserve">F4, P1, F2</w:t>
            </w:r>
          </w:p>
        </w:tc>
      </w:tr>
    </w:tbl>
    <w:bookmarkEnd w:id="12"/>
    <w:bookmarkStart w:id="13" w:name="metrics"/>
    <w:p>
      <w:pPr>
        <w:pStyle w:val="Heading3"/>
      </w:pPr>
      <w:r>
        <w:t xml:space="preserve">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184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 Architecture Design completeness</w:t>
            </w:r>
          </w:p>
        </w:tc>
        <w:tc>
          <w:tcPr/>
          <w:p>
            <w:pPr>
              <w:pStyle w:val="Compact"/>
            </w:pPr>
            <w:r>
              <w:t xml:space="preserve">4/4 capability layers designed</w:t>
            </w:r>
          </w:p>
        </w:tc>
        <w:tc>
          <w:tcPr/>
          <w:p>
            <w:pPr>
              <w:pStyle w:val="Compact"/>
            </w:pPr>
            <w:r>
              <w:t xml:space="preserve">Deliverable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Graph specification</w:t>
            </w:r>
          </w:p>
        </w:tc>
        <w:tc>
          <w:tcPr/>
          <w:p>
            <w:pPr>
              <w:pStyle w:val="Compact"/>
            </w:pPr>
            <w:r>
              <w:t xml:space="preserve">Implementable (technology selected, schema designed, &gt;=2 data sources mapped)</w:t>
            </w:r>
          </w:p>
        </w:tc>
        <w:tc>
          <w:tcPr/>
          <w:p>
            <w:pPr>
              <w:pStyle w:val="Compact"/>
            </w:pPr>
            <w:r>
              <w:t xml:space="preserve">ADR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structure coverage</w:t>
            </w:r>
          </w:p>
        </w:tc>
        <w:tc>
          <w:tcPr/>
          <w:p>
            <w:pPr>
              <w:pStyle w:val="Compact"/>
            </w:pPr>
            <w:r>
              <w:t xml:space="preserve">50+ initiatives mapped to workstreams with dependencies</w:t>
            </w:r>
          </w:p>
        </w:tc>
        <w:tc>
          <w:tcPr/>
          <w:p>
            <w:pPr>
              <w:pStyle w:val="Compact"/>
            </w:pPr>
            <w:r>
              <w:t xml:space="preserve">Portfolio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automation candidates</w:t>
            </w:r>
          </w:p>
        </w:tc>
        <w:tc>
          <w:tcPr/>
          <w:p>
            <w:pPr>
              <w:pStyle w:val="Compact"/>
            </w:pPr>
            <w:r>
              <w:t xml:space="preserve">&gt;=15 processes catalogued with automation scoring</w:t>
            </w:r>
          </w:p>
        </w:tc>
        <w:tc>
          <w:tcPr/>
          <w:p>
            <w:pPr>
              <w:pStyle w:val="Compact"/>
            </w:pPr>
            <w:r>
              <w:t xml:space="preserve">Business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process reduction plan</w:t>
            </w:r>
          </w:p>
        </w:tc>
        <w:tc>
          <w:tcPr/>
          <w:p>
            <w:pPr>
              <w:pStyle w:val="Compact"/>
            </w:pPr>
            <w:r>
              <w:t xml:space="preserve">Milestone targets defined (60% → 45% → 30% → &lt;=20%)</w:t>
            </w:r>
          </w:p>
        </w:tc>
        <w:tc>
          <w:tcPr/>
          <w:p>
            <w:pPr>
              <w:pStyle w:val="Compact"/>
            </w:pPr>
            <w:r>
              <w:t xml:space="preserve">Baseline established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</w:pPr>
            <w:r>
              <w:t xml:space="preserve">Policy published, deployed agents assessed</w:t>
            </w:r>
          </w:p>
        </w:tc>
        <w:tc>
          <w:tcPr/>
          <w:p>
            <w:pPr>
              <w:pStyle w:val="Compact"/>
            </w:pPr>
            <w:r>
              <w:t xml:space="preserve">Compliance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togaf-the-ins-framework"/>
    <w:p>
      <w:pPr>
        <w:pStyle w:val="Heading2"/>
      </w:pPr>
      <w:r>
        <w:t xml:space="preserve">TOGAF: The INS Framework</w:t>
      </w:r>
    </w:p>
    <w:bookmarkStart w:id="15" w:name="X43afd6af0678f459dc205438ecb1743b24de136"/>
    <w:p>
      <w:pPr>
        <w:pStyle w:val="Heading3"/>
      </w:pPr>
      <w:r>
        <w:t xml:space="preserve">Enterprise Architecture — Right-Sized for INS</w:t>
      </w:r>
    </w:p>
    <w:p>
      <w:pPr>
        <w:pStyle w:val="FirstParagraph"/>
      </w:pPr>
      <w:r>
        <w:t xml:space="preserve">This engagement follows TOGAF (The Open Group Architecture Framework) — the world’s most widely adopted EA standard — but fast-tracked and right-sized for a mid-market professional services firm. TOGAF’s Architecture Development Method (ADM) provides the rigour; our approach removes the bureaucracy.</w:t>
      </w:r>
    </w:p>
    <w:p>
      <w:pPr>
        <w:pStyle w:val="BodyText"/>
      </w:pPr>
      <w:r>
        <w:t xml:space="preserve">In a large enterprise, TOGAF typically means a dedicated architecture practice of 10-50+ architects, multi-month engagement cycles, formal review boards, and thousands of static artefacts in specialised tooling. That approach would be disproportionate for an organisation of INS’s scale (~800 people, ~£100M turnover, primarily Microsoft stack). The framework would become the work.</w:t>
      </w:r>
    </w:p>
    <w:bookmarkEnd w:id="15"/>
    <w:bookmarkStart w:id="16" w:name="how-we-apply-togaf-at-ins"/>
    <w:p>
      <w:pPr>
        <w:pStyle w:val="Heading3"/>
      </w:pPr>
      <w:r>
        <w:t xml:space="preserve">How We Apply TOGAF at INS</w:t>
      </w:r>
    </w:p>
    <w:p>
      <w:pPr>
        <w:pStyle w:val="FirstParagraph"/>
      </w:pPr>
      <w:r>
        <w:t xml:space="preserve">Every ADM phase is covered. Nothing is skipped. But the method is compressed, the governance is lean, and the tools are modern: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6"/>
        <w:gridCol w:w="220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TOGAF Phase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</w:pPr>
            <w:r>
              <w:t xml:space="preserve">How We Deliver It at 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Preliminary</w:t>
            </w:r>
          </w:p>
        </w:tc>
        <w:tc>
          <w:tcPr/>
          <w:p>
            <w:pPr>
              <w:pStyle w:val="Compact"/>
            </w:pPr>
            <w:r>
              <w:t xml:space="preserve">Framework, principles, tools, governance</w:t>
            </w:r>
          </w:p>
        </w:tc>
        <w:tc>
          <w:tcPr/>
          <w:p>
            <w:pPr>
              <w:pStyle w:val="Compact"/>
            </w:pPr>
            <w:r>
              <w:t xml:space="preserve">EA Framework Summary + ontology tooling + OAA v6 quality standard — already in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Architecture Vision</w:t>
            </w:r>
          </w:p>
        </w:tc>
        <w:tc>
          <w:tcPr/>
          <w:p>
            <w:pPr>
              <w:pStyle w:val="Compact"/>
            </w:pPr>
            <w:r>
              <w:t xml:space="preserve">Scope, stakeholders, high-level vision</w:t>
            </w:r>
          </w:p>
        </w:tc>
        <w:tc>
          <w:tcPr/>
          <w:p>
            <w:pPr>
              <w:pStyle w:val="Compact"/>
            </w:pPr>
            <w:r>
              <w:t xml:space="preserve">1-day facilitated workshop — decisions in a room in one day because the decision-makers are all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Business Architecture</w:t>
            </w:r>
          </w:p>
        </w:tc>
        <w:tc>
          <w:tcPr/>
          <w:p>
            <w:pPr>
              <w:pStyle w:val="Compact"/>
            </w:pPr>
            <w:r>
              <w:t xml:space="preserve">Business capabilities, processes, organisation</w:t>
            </w:r>
          </w:p>
        </w:tc>
        <w:tc>
          <w:tcPr/>
          <w:p>
            <w:pPr>
              <w:pStyle w:val="Compact"/>
            </w:pPr>
            <w:r>
              <w:t xml:space="preserve">BSC strategy cascade (16 objectives, 5 pillars) + process catalogue (top 20) + stakeholder interviews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Information Systems</w:t>
            </w:r>
          </w:p>
        </w:tc>
        <w:tc>
          <w:tcPr/>
          <w:p>
            <w:pPr>
              <w:pStyle w:val="Compact"/>
            </w:pPr>
            <w:r>
              <w:t xml:space="preserve">Data architecture, application architecture</w:t>
            </w:r>
          </w:p>
        </w:tc>
        <w:tc>
          <w:tcPr/>
          <w:p>
            <w:pPr>
              <w:pStyle w:val="Compact"/>
            </w:pPr>
            <w:r>
              <w:t xml:space="preserve">Enterprise Graph specification + ontology framework (23 ontologies) + data source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D: Technology Architecture</w:t>
            </w:r>
          </w:p>
        </w:tc>
        <w:tc>
          <w:tcPr/>
          <w:p>
            <w:pPr>
              <w:pStyle w:val="Compact"/>
            </w:pPr>
            <w:r>
              <w:t xml:space="preserve">Infrastructure, platforms, security</w:t>
            </w:r>
          </w:p>
        </w:tc>
        <w:tc>
          <w:tcPr/>
          <w:p>
            <w:pPr>
              <w:pStyle w:val="Compact"/>
            </w:pPr>
            <w:r>
              <w:t xml:space="preserve">5 snapshot audits (ALZ, O365, PP, TP, RCSG — 33 artefacts) + 5 ADRs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E: Opportunities &amp; Solutions</w:t>
            </w:r>
          </w:p>
        </w:tc>
        <w:tc>
          <w:tcPr/>
          <w:p>
            <w:pPr>
              <w:pStyle w:val="Compact"/>
            </w:pPr>
            <w:r>
              <w:t xml:space="preserve">Options, work packages, build vs. buy</w:t>
            </w:r>
          </w:p>
        </w:tc>
        <w:tc>
          <w:tcPr/>
          <w:p>
            <w:pPr>
              <w:pStyle w:val="Compact"/>
            </w:pPr>
            <w:r>
              <w:t xml:space="preserve">Three pillars framework + 14 PPM epics + dependency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F: Migration Planning</w:t>
            </w:r>
          </w:p>
        </w:tc>
        <w:tc>
          <w:tcPr/>
          <w:p>
            <w:pPr>
              <w:pStyle w:val="Compact"/>
            </w:pPr>
            <w:r>
              <w:t xml:space="preserve">Roadmap, sequencing, transition states</w:t>
            </w:r>
          </w:p>
        </w:tc>
        <w:tc>
          <w:tcPr/>
          <w:p>
            <w:pPr>
              <w:pStyle w:val="Compact"/>
            </w:pPr>
            <w:r>
              <w:t xml:space="preserve">Capability roadmap (4/12/24 months) + Phase 2 Gantt + programme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G: Implementation Governance</w:t>
            </w:r>
          </w:p>
        </w:tc>
        <w:tc>
          <w:tcPr/>
          <w:p>
            <w:pPr>
              <w:pStyle w:val="Compact"/>
            </w:pPr>
            <w:r>
              <w:t xml:space="preserve">Conformance, oversight, change control</w:t>
            </w:r>
          </w:p>
        </w:tc>
        <w:tc>
          <w:tcPr/>
          <w:p>
            <w:pPr>
              <w:pStyle w:val="Compact"/>
            </w:pPr>
            <w:r>
              <w:t xml:space="preserve">Steering committee (monthly) + PR-based artefact governance + OAA v6 quality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H: Change Management</w:t>
            </w:r>
          </w:p>
        </w:tc>
        <w:tc>
          <w:tcPr/>
          <w:p>
            <w:pPr>
              <w:pStyle w:val="Compact"/>
            </w:pPr>
            <w:r>
              <w:t xml:space="preserve">Architecture evolution, versioning</w:t>
            </w:r>
          </w:p>
        </w:tc>
        <w:tc>
          <w:tcPr/>
          <w:p>
            <w:pPr>
              <w:pStyle w:val="Compact"/>
            </w:pPr>
            <w:r>
              <w:t xml:space="preserve">Ontology versioning in GitHub + graph evolution + continuous audit monitoring</w:t>
            </w:r>
          </w:p>
        </w:tc>
      </w:tr>
    </w:tbl>
    <w:bookmarkEnd w:id="16"/>
    <w:bookmarkStart w:id="17" w:name="what-makes-the-ins-approach-different"/>
    <w:p>
      <w:pPr>
        <w:pStyle w:val="Heading3"/>
      </w:pPr>
      <w:r>
        <w:t xml:space="preserve">What Makes the INS Approach Different</w:t>
      </w:r>
    </w:p>
    <w:p>
      <w:pPr>
        <w:pStyle w:val="FirstParagraph"/>
      </w:pPr>
      <w:r>
        <w:rPr>
          <w:b/>
          <w:bCs/>
        </w:rPr>
        <w:t xml:space="preserve">Ontology-driven, not document-driven.</w:t>
      </w:r>
      <w:r>
        <w:t xml:space="preserve"> </w:t>
      </w:r>
      <w:r>
        <w:t xml:space="preserve">The architecture exists as machine-readable models connected in a graph — not as static documents that become outdated within months. When one model changes, cross-references are immediately visible. Cross-domain traceability is a graph query, not a meeting.</w:t>
      </w:r>
    </w:p>
    <w:p>
      <w:pPr>
        <w:pStyle w:val="BodyText"/>
      </w:pPr>
      <w:r>
        <w:rPr>
          <w:b/>
          <w:bCs/>
        </w:rPr>
        <w:t xml:space="preserve">AI-augmented at every stage.</w:t>
      </w:r>
      <w:r>
        <w:t xml:space="preserve"> </w:t>
      </w:r>
      <w:r>
        <w:t xml:space="preserve">Architecture diagrams generated in minutes (Mermaid), ADRs drafted with AI-assisted options analysis, compliance cross-mappings automated through ontology relationships, BSC alignment validated automatically. Work that would take a team of analysts weeks is done in hours.</w:t>
      </w:r>
    </w:p>
    <w:p>
      <w:pPr>
        <w:pStyle w:val="BodyText"/>
      </w:pPr>
      <w:r>
        <w:rPr>
          <w:b/>
          <w:bCs/>
        </w:rPr>
        <w:t xml:space="preserve">Lean governance that fits the team.</w:t>
      </w:r>
      <w:r>
        <w:t xml:space="preserve"> </w:t>
      </w:r>
      <w:r>
        <w:t xml:space="preserve">A small steering committee, direct access to leadership, PR-based artefact review, and Architecture Decision Records — not formal review boards with multi-week approval cycles. Decisions can be made in a room in an afternoon.</w:t>
      </w:r>
    </w:p>
    <w:p>
      <w:pPr>
        <w:pStyle w:val="BodyText"/>
      </w:pPr>
      <w:r>
        <w:rPr>
          <w:b/>
          <w:bCs/>
        </w:rPr>
        <w:t xml:space="preserve">Platform-agnostic but Microsoft-aware.</w:t>
      </w:r>
      <w:r>
        <w:t xml:space="preserve"> </w:t>
      </w:r>
      <w:r>
        <w:t xml:space="preserve">The architecture leverages the deep integration benefits of the Microsoft stack (Azure, M365, Entra ID, Purview, Copilot, Power Platform) while keeping the Enterprise Graph on open standards (JSON-LD, schema.org) and selecting AI capabilities on merit, not vendor affinity.</w:t>
      </w:r>
    </w:p>
    <w:bookmarkEnd w:id="17"/>
    <w:bookmarkStart w:id="18" w:name="ea-maturity-trajectory"/>
    <w:p>
      <w:pPr>
        <w:pStyle w:val="Heading3"/>
      </w:pPr>
      <w:r>
        <w:t xml:space="preserve">EA Maturity Trajectory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2897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Maturity Level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Level 1 — Initial</w:t>
            </w:r>
          </w:p>
        </w:tc>
        <w:tc>
          <w:tcPr/>
          <w:p>
            <w:pPr>
              <w:pStyle w:val="Compact"/>
            </w:pPr>
            <w:r>
              <w:t xml:space="preserve">No formal EA, ad hoc technology decisions, no unified data model, ~60% manual processes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 2026</w:t>
            </w:r>
            <w:r>
              <w:t xml:space="preserve"> </w:t>
            </w:r>
            <w:r>
              <w:t xml:space="preserve">(after this engagement + Phase 2)</w:t>
            </w:r>
          </w:p>
        </w:tc>
        <w:tc>
          <w:tcPr/>
          <w:p>
            <w:pPr>
              <w:pStyle w:val="Compact"/>
            </w:pPr>
            <w:r>
              <w:t xml:space="preserve">Level 2 — Under Development</w:t>
            </w:r>
          </w:p>
        </w:tc>
        <w:tc>
          <w:tcPr/>
          <w:p>
            <w:pPr>
              <w:pStyle w:val="Compact"/>
            </w:pPr>
            <w:r>
              <w:t xml:space="preserve">Architecture process defined, core artefacts produced, governance operational, key decisions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Feb 2027</w:t>
            </w:r>
          </w:p>
        </w:tc>
        <w:tc>
          <w:tcPr/>
          <w:p>
            <w:pPr>
              <w:pStyle w:val="Compact"/>
            </w:pPr>
            <w:r>
              <w:t xml:space="preserve">Level 3 — Defined</w:t>
            </w:r>
          </w:p>
        </w:tc>
        <w:tc>
          <w:tcPr/>
          <w:p>
            <w:pPr>
              <w:pStyle w:val="Compact"/>
            </w:pPr>
            <w:r>
              <w:t xml:space="preserve">Architecture practice consistent, Enterprise Graph populated, all audits at v2+, architecture informs all technology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Feb 2028</w:t>
            </w:r>
          </w:p>
        </w:tc>
        <w:tc>
          <w:tcPr/>
          <w:p>
            <w:pPr>
              <w:pStyle w:val="Compact"/>
            </w:pPr>
            <w:r>
              <w:t xml:space="preserve">Level 4 — Managed</w:t>
            </w:r>
          </w:p>
        </w:tc>
        <w:tc>
          <w:tcPr/>
          <w:p>
            <w:pPr>
              <w:pStyle w:val="Compact"/>
            </w:pPr>
            <w:r>
              <w:t xml:space="preserve">Architecture value demonstrated through BSC metrics, continuous assurance operational, manual processes &lt;=20%</w:t>
            </w:r>
          </w:p>
        </w:tc>
      </w:tr>
    </w:tbl>
    <w:p>
      <w:pPr>
        <w:pStyle w:val="BodyText"/>
      </w:pPr>
      <w:r>
        <w:t xml:space="preserve">This trajectory is realistic and measurable. Moving from Level 1 to Level 2 in Phase 2 is achievable with a lean team and AI augmentation.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b/>
          <w:bCs/>
        </w:rPr>
        <w:t xml:space="preserve">EA-TOGAF-Rationalisation-v1.md</w:t>
      </w:r>
      <w:r>
        <w:t xml:space="preserve"> </w:t>
      </w:r>
      <w:r>
        <w:t xml:space="preserve">for the full TOGAF definition, phase-by-phase coverage matrix, and detailed maturity assessment.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the-engagement"/>
    <w:p>
      <w:pPr>
        <w:pStyle w:val="Heading2"/>
      </w:pPr>
      <w:r>
        <w:t xml:space="preserve">1. The Engagement</w:t>
      </w:r>
    </w:p>
    <w:p>
      <w:pPr>
        <w:pStyle w:val="FirstParagraph"/>
      </w:pPr>
      <w:r>
        <w:t xml:space="preserve">A 15-day fixed-price engagement delivering the EA workshop, design assignment, and programme specification for the AI Strategy Programme.</w:t>
      </w:r>
    </w:p>
    <w:p>
      <w:pPr>
        <w:pStyle w:val="BodyText"/>
      </w:pPr>
      <w:r>
        <w:t xml:space="preserve">The engagement covers three phases: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77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Pre-Workshop</w:t>
            </w:r>
          </w:p>
        </w:tc>
        <w:tc>
          <w:tcPr/>
          <w:p>
            <w:pPr>
              <w:pStyle w:val="Compact"/>
            </w:pPr>
            <w:r>
              <w:t xml:space="preserve">Preparation, audit synthesis, stakeholder briefing, artefact staging</w:t>
            </w:r>
          </w:p>
        </w:tc>
        <w:tc>
          <w:tcPr/>
          <w:p>
            <w:pPr>
              <w:pStyle w:val="Compact"/>
            </w:pPr>
            <w:r>
              <w:t xml:space="preserve">Phase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Workshop</w:t>
            </w:r>
          </w:p>
        </w:tc>
        <w:tc>
          <w:tcPr/>
          <w:p>
            <w:pPr>
              <w:pStyle w:val="Compact"/>
            </w:pPr>
            <w:r>
              <w:t xml:space="preserve">1-day facilitated EA Vision &amp; Roadmap Workshop</w:t>
            </w:r>
          </w:p>
        </w:tc>
        <w:tc>
          <w:tcPr/>
          <w:p>
            <w:pPr>
              <w:pStyle w:val="Compact"/>
            </w:pPr>
            <w:r>
              <w:t xml:space="preserve">Phase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Assignment</w:t>
            </w:r>
          </w:p>
        </w:tc>
        <w:tc>
          <w:tcPr/>
          <w:p>
            <w:pPr>
              <w:pStyle w:val="Compact"/>
            </w:pPr>
            <w:r>
              <w:t xml:space="preserve">Architecture design, graph specification, programme structure, ADRs, BSC implementation map</w:t>
            </w:r>
          </w:p>
        </w:tc>
        <w:tc>
          <w:tcPr/>
          <w:p>
            <w:pPr>
              <w:pStyle w:val="Compact"/>
            </w:pPr>
            <w:r>
              <w:t xml:space="preserve">Phases B-F</w:t>
            </w:r>
          </w:p>
        </w:tc>
      </w:tr>
    </w:tbl>
    <w:p>
      <w:pPr>
        <w:pStyle w:val="BodyText"/>
      </w:pPr>
      <w:r>
        <w:t xml:space="preserve">All work is delivered under a single fixed price of</w:t>
      </w:r>
      <w:r>
        <w:t xml:space="preserve"> </w:t>
      </w:r>
      <w:r>
        <w:rPr>
          <w:b/>
          <w:bCs/>
        </w:rPr>
        <w:t xml:space="preserve">£15,000</w:t>
      </w:r>
      <w:r>
        <w:t xml:space="preserve"> </w:t>
      </w:r>
      <w:r>
        <w:t xml:space="preserve">inclusive of all professional fees, preparation, delivery, tooling, and artefact production. No additional charges.</w:t>
      </w:r>
    </w:p>
    <w:p>
      <w:r>
        <w:pict>
          <v:rect style="width:0;height:1.5pt" o:hralign="center" o:hrstd="t" o:hr="t"/>
        </w:pict>
      </w:r>
    </w:p>
    <w:bookmarkEnd w:id="20"/>
    <w:bookmarkStart w:id="21" w:name="the-team"/>
    <w:p>
      <w:pPr>
        <w:pStyle w:val="Heading2"/>
      </w:pPr>
      <w:r>
        <w:t xml:space="preserve">2. The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&amp; Azure Architect</w:t>
            </w:r>
          </w:p>
        </w:tc>
        <w:tc>
          <w:tcPr/>
          <w:p>
            <w:pPr>
              <w:pStyle w:val="Compact"/>
            </w:pPr>
            <w:r>
              <w:t xml:space="preserve">EA design leadership, TOGAF ADM facilitation, Azure/M365 architecture, platform governance, technology ADRs, compliance-by-design, Enterprise Graph specification, infrastructure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Engineer / Consultant</w:t>
            </w:r>
          </w:p>
        </w:tc>
        <w:tc>
          <w:tcPr/>
          <w:p>
            <w:pPr>
              <w:pStyle w:val="Compact"/>
            </w:pPr>
            <w:r>
              <w:t xml:space="preserve">AI strategy and agentic layer architecture, ontology modelling, graph schema design, AI governance framework, virtual agent architecture, Copilot adoption planning, AI-assisted artefact production, interactive tooling</w:t>
            </w:r>
          </w:p>
        </w:tc>
      </w:tr>
    </w:tbl>
    <w:p>
      <w:pPr>
        <w:pStyle w:val="BodyText"/>
      </w:pPr>
      <w:r>
        <w:t xml:space="preserve">The team operates as a close-knit unit working directly with the steering committee, EA Lead, and business/IT stakeholders. Both roles contribute across all phases — the distinction is domain expertise, not siloed responsibility.</w:t>
      </w:r>
    </w:p>
    <w:p>
      <w:r>
        <w:pict>
          <v:rect style="width:0;height:1.5pt" o:hralign="center" o:hrstd="t" o:hr="t"/>
        </w:pict>
      </w:r>
    </w:p>
    <w:bookmarkEnd w:id="21"/>
    <w:bookmarkStart w:id="26" w:name="what-we-deliver"/>
    <w:p>
      <w:pPr>
        <w:pStyle w:val="Heading2"/>
      </w:pPr>
      <w:r>
        <w:t xml:space="preserve">3. What We Deliver</w:t>
      </w:r>
    </w:p>
    <w:bookmarkStart w:id="22" w:name="pre-workshop-artefacts"/>
    <w:p>
      <w:pPr>
        <w:pStyle w:val="Heading3"/>
      </w:pPr>
      <w:r>
        <w:t xml:space="preserve">Pre-Workshop Artefacts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PW-1</w:t>
            </w:r>
          </w:p>
        </w:tc>
        <w:tc>
          <w:tcPr/>
          <w:p>
            <w:pPr>
              <w:pStyle w:val="Compact"/>
            </w:pPr>
            <w:r>
              <w:t xml:space="preserve">Audit Synthesis Pack</w:t>
            </w:r>
          </w:p>
        </w:tc>
        <w:tc>
          <w:tcPr/>
          <w:p>
            <w:pPr>
              <w:pStyle w:val="Compact"/>
            </w:pPr>
            <w:r>
              <w:t xml:space="preserve">Consolidated findings across all 5 audit workstreams (ALZ, O365, PP, TP, RCSG) — current state, gaps, readiness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PW-2</w:t>
            </w:r>
          </w:p>
        </w:tc>
        <w:tc>
          <w:tcPr/>
          <w:p>
            <w:pPr>
              <w:pStyle w:val="Compact"/>
            </w:pPr>
            <w:r>
              <w:t xml:space="preserve">EA Model Visual</w:t>
            </w:r>
          </w:p>
        </w:tc>
        <w:tc>
          <w:tcPr/>
          <w:p>
            <w:pPr>
              <w:pStyle w:val="Compact"/>
            </w:pPr>
            <w:r>
              <w:t xml:space="preserve">Four capability layers diagram prepared for workshop 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PW-3</w:t>
            </w:r>
          </w:p>
        </w:tc>
        <w:tc>
          <w:tcPr/>
          <w:p>
            <w:pPr>
              <w:pStyle w:val="Compact"/>
            </w:pPr>
            <w:r>
              <w:t xml:space="preserve">Three Pillars Framework Visual</w:t>
            </w:r>
          </w:p>
        </w:tc>
        <w:tc>
          <w:tcPr/>
          <w:p>
            <w:pPr>
              <w:pStyle w:val="Compact"/>
            </w:pPr>
            <w:r>
              <w:t xml:space="preserve">Foundation → Augmentation → Acceleration progression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PW-4</w:t>
            </w:r>
          </w:p>
        </w:tc>
        <w:tc>
          <w:tcPr/>
          <w:p>
            <w:pPr>
              <w:pStyle w:val="Compact"/>
            </w:pPr>
            <w:r>
              <w:t xml:space="preserve">Enterprise Graph Architecture Visual</w:t>
            </w:r>
          </w:p>
        </w:tc>
        <w:tc>
          <w:tcPr/>
          <w:p>
            <w:pPr>
              <w:pStyle w:val="Compact"/>
            </w:pPr>
            <w:r>
              <w:t xml:space="preserve">Data sources → Graph → Capabilities diagram for workshop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PW-5</w:t>
            </w:r>
          </w:p>
        </w:tc>
        <w:tc>
          <w:tcPr/>
          <w:p>
            <w:pPr>
              <w:pStyle w:val="Compact"/>
            </w:pPr>
            <w:r>
              <w:t xml:space="preserve">Ontology Visualiser Demo</w:t>
            </w:r>
          </w:p>
        </w:tc>
        <w:tc>
          <w:tcPr/>
          <w:p>
            <w:pPr>
              <w:pStyle w:val="Compact"/>
            </w:pPr>
            <w:r>
              <w:t xml:space="preserve">Unified registry (6 series, 23 ontologies) configured for live workshop demonstration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PW-6</w:t>
            </w:r>
          </w:p>
        </w:tc>
        <w:tc>
          <w:tcPr/>
          <w:p>
            <w:pPr>
              <w:pStyle w:val="Compact"/>
            </w:pPr>
            <w:r>
              <w:t xml:space="preserve">Workshop Pack</w:t>
            </w:r>
          </w:p>
        </w:tc>
        <w:tc>
          <w:tcPr/>
          <w:p>
            <w:pPr>
              <w:pStyle w:val="Compact"/>
            </w:pPr>
            <w:r>
              <w:t xml:space="preserve">Pre-reading circulation: Context Summary, Wave 1 Priorities, Executive Summary, BSC Strategy Map</w:t>
            </w:r>
          </w:p>
        </w:tc>
      </w:tr>
    </w:tbl>
    <w:bookmarkEnd w:id="22"/>
    <w:bookmarkStart w:id="23" w:name="workshop-deliverables"/>
    <w:p>
      <w:pPr>
        <w:pStyle w:val="Heading3"/>
      </w:pPr>
      <w:r>
        <w:t xml:space="preserve">Workshop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WS-1</w:t>
            </w:r>
          </w:p>
        </w:tc>
        <w:tc>
          <w:tcPr/>
          <w:p>
            <w:pPr>
              <w:pStyle w:val="Compact"/>
            </w:pPr>
            <w:r>
              <w:t xml:space="preserve">Facilitated 1-Day Workshop</w:t>
            </w:r>
          </w:p>
        </w:tc>
        <w:tc>
          <w:tcPr/>
          <w:p>
            <w:pPr>
              <w:pStyle w:val="Compact"/>
            </w:pPr>
            <w:r>
              <w:t xml:space="preserve">EA Vision &amp; Roadmap Workshop per EA-PPM-WS-2026-001 — 5 sessions covering the EA model, current state, vision, roadmap, and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WS-2</w:t>
            </w:r>
          </w:p>
        </w:tc>
        <w:tc>
          <w:tcPr/>
          <w:p>
            <w:pPr>
              <w:pStyle w:val="Compact"/>
            </w:pPr>
            <w:r>
              <w:t xml:space="preserve">Workshop Decision Record</w:t>
            </w:r>
          </w:p>
        </w:tc>
        <w:tc>
          <w:tcPr/>
          <w:p>
            <w:pPr>
              <w:pStyle w:val="Compact"/>
            </w:pPr>
            <w:r>
              <w:t xml:space="preserve">All agreements, decisions, and constraints captured in markdown and committed to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WS-3</w:t>
            </w:r>
          </w:p>
        </w:tc>
        <w:tc>
          <w:tcPr/>
          <w:p>
            <w:pPr>
              <w:pStyle w:val="Compact"/>
            </w:pPr>
            <w:r>
              <w:t xml:space="preserve">Phase 2 Scope Confirmation</w:t>
            </w:r>
          </w:p>
        </w:tc>
        <w:tc>
          <w:tcPr/>
          <w:p>
            <w:pPr>
              <w:pStyle w:val="Compact"/>
            </w:pPr>
            <w:r>
              <w:t xml:space="preserve">Agreed deliverables for Feb-May 2026 mapped to pillars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WS-4</w:t>
            </w:r>
          </w:p>
        </w:tc>
        <w:tc>
          <w:tcPr/>
          <w:p>
            <w:pPr>
              <w:pStyle w:val="Compact"/>
            </w:pPr>
            <w:r>
              <w:t xml:space="preserve">Design Assignment Commission</w:t>
            </w:r>
          </w:p>
        </w:tc>
        <w:tc>
          <w:tcPr/>
          <w:p>
            <w:pPr>
              <w:pStyle w:val="Compact"/>
            </w:pPr>
            <w:r>
              <w:t xml:space="preserve">Signed-off scope for the architecture design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WS-5</w:t>
            </w:r>
          </w:p>
        </w:tc>
        <w:tc>
          <w:tcPr/>
          <w:p>
            <w:pPr>
              <w:pStyle w:val="Compact"/>
            </w:pPr>
            <w:r>
              <w:t xml:space="preserve">Priority Process Catalogue (initial)</w:t>
            </w:r>
          </w:p>
        </w:tc>
        <w:tc>
          <w:tcPr/>
          <w:p>
            <w:pPr>
              <w:pStyle w:val="Compact"/>
            </w:pPr>
            <w:r>
              <w:t xml:space="preserve">Top process candidates identified for automation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WS-6</w:t>
            </w:r>
          </w:p>
        </w:tc>
        <w:tc>
          <w:tcPr/>
          <w:p>
            <w:pPr>
              <w:pStyle w:val="Compact"/>
            </w:pPr>
            <w:r>
              <w:t xml:space="preserve">Parking Lot &amp; Actions Register</w:t>
            </w:r>
          </w:p>
        </w:tc>
        <w:tc>
          <w:tcPr/>
          <w:p>
            <w:pPr>
              <w:pStyle w:val="Compact"/>
            </w:pPr>
            <w:r>
              <w:t xml:space="preserve">Unresolved items and assigned follow-up actions with owners and due dates</w:t>
            </w:r>
          </w:p>
        </w:tc>
      </w:tr>
    </w:tbl>
    <w:bookmarkEnd w:id="23"/>
    <w:bookmarkStart w:id="24" w:name="design-assignment-deliverables"/>
    <w:p>
      <w:pPr>
        <w:pStyle w:val="Heading3"/>
      </w:pPr>
      <w:r>
        <w:t xml:space="preserve">Design Assignment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3550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 Architecture Design</w:t>
            </w:r>
          </w:p>
        </w:tc>
        <w:tc>
          <w:tcPr/>
          <w:p>
            <w:pPr>
              <w:pStyle w:val="Compact"/>
            </w:pPr>
            <w:r>
              <w:t xml:space="preserve">Target-state architecture across 4 capability layers (Business, Information, AI, Technology) with current-state mapping and gap analysis per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Graph Specification</w:t>
            </w:r>
          </w:p>
        </w:tc>
        <w:tc>
          <w:tcPr/>
          <w:p>
            <w:pPr>
              <w:pStyle w:val="Compact"/>
            </w:pPr>
            <w:r>
              <w:t xml:space="preserve">Technology selection (ADR), schema design (Client, Policy, Risk, Compliance, Identity, Product, Market, Process), data source mapping, ontology alignment, deployment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Roadmap</w:t>
            </w:r>
          </w:p>
        </w:tc>
        <w:tc>
          <w:tcPr/>
          <w:p>
            <w:pPr>
              <w:pStyle w:val="Compact"/>
            </w:pPr>
            <w:r>
              <w:t xml:space="preserve">Time-phased roadmap: Phase 2 (4 months), Medium Term (12 months), Long Term (24 months) — mapped to three pillars and BSC objectives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Design</w:t>
            </w:r>
          </w:p>
        </w:tc>
        <w:tc>
          <w:tcPr/>
          <w:p>
            <w:pPr>
              <w:pStyle w:val="Compact"/>
            </w:pPr>
            <w:r>
              <w:t xml:space="preserve">Structured programme with 6 workstreams (WS-A to WS-F), 14 PPM epics, dependency mapping, milestone gates, resource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Automation Assessment</w:t>
            </w:r>
          </w:p>
        </w:tc>
        <w:tc>
          <w:tcPr/>
          <w:p>
            <w:pPr>
              <w:pStyle w:val="Compact"/>
            </w:pPr>
            <w:r>
              <w:t xml:space="preserve">Top 20 manual processes catalogued with automation feasibility, priority scoring, and quantified reduction path (60% → 45% → 30% → &lt;=20%)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Stack ADRs (x5)</w:t>
            </w:r>
          </w:p>
        </w:tc>
        <w:tc>
          <w:tcPr/>
          <w:p>
            <w:pPr>
              <w:pStyle w:val="Compact"/>
            </w:pPr>
            <w:r>
              <w:t xml:space="preserve">Architecture Decision Records: Graph Database, AI Platform, Integration Architecture, Data Governance Platform, Compliance Automation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BSC Implementation Map</w:t>
            </w:r>
          </w:p>
        </w:tc>
        <w:tc>
          <w:tcPr/>
          <w:p>
            <w:pPr>
              <w:pStyle w:val="Compact"/>
            </w:pPr>
            <w:r>
              <w:t xml:space="preserve">Complete mapping of 50+ initiatives to BSC objectives, capabilities, dependencies, workstream, phase, and target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Layer Architecture</w:t>
            </w:r>
          </w:p>
        </w:tc>
        <w:tc>
          <w:tcPr/>
          <w:p>
            <w:pPr>
              <w:pStyle w:val="Compact"/>
            </w:pPr>
            <w:r>
              <w:t xml:space="preserve">Agent catalogue (8 agents), orchestration model, governance framework, progressive autonomy roadmap, graph-connected context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Governance Policy</w:t>
            </w:r>
          </w:p>
        </w:tc>
        <w:tc>
          <w:tcPr/>
          <w:p>
            <w:pPr>
              <w:pStyle w:val="Compact"/>
            </w:pPr>
            <w:r>
              <w:t xml:space="preserve">Framework aligned to UK AI Act, OWASP LLM Top 10, FCA expectations — risk assessment for deployed agents, HITL controls, audit logging</w:t>
            </w:r>
          </w:p>
        </w:tc>
      </w:tr>
    </w:tbl>
    <w:bookmarkEnd w:id="24"/>
    <w:bookmarkStart w:id="25" w:name="programme-artefacts-ongoing-reference"/>
    <w:p>
      <w:pPr>
        <w:pStyle w:val="Heading3"/>
      </w:pPr>
      <w:r>
        <w:t xml:space="preserve">Programme Artefacts (Ongoing Reference)</w:t>
      </w:r>
    </w:p>
    <w:p>
      <w:pPr>
        <w:pStyle w:val="FirstParagraph"/>
      </w:pPr>
      <w:r>
        <w:t xml:space="preserve">All deliverables are committed to the INS-PPL-AZL repository in the PBS/ folder structure, version-controlled, PR-reviewed, and maintained as living documents. The artefact set provides the foundation for programme execution from Phase 2 onwards.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pproach"/>
    <w:p>
      <w:pPr>
        <w:pStyle w:val="Heading2"/>
      </w:pPr>
      <w:r>
        <w:t xml:space="preserve">4. Approach</w:t>
      </w:r>
    </w:p>
    <w:bookmarkStart w:id="27" w:name="phase-a-pre-workshop"/>
    <w:p>
      <w:pPr>
        <w:pStyle w:val="Heading3"/>
      </w:pPr>
      <w:r>
        <w:t xml:space="preserve">Phase A: Pre-Workshop</w:t>
      </w:r>
    </w:p>
    <w:p>
      <w:pPr>
        <w:pStyle w:val="Compact"/>
        <w:numPr>
          <w:ilvl w:val="0"/>
          <w:numId w:val="1001"/>
        </w:numPr>
      </w:pPr>
      <w:r>
        <w:t xml:space="preserve">Review and synthesise all existing audit artefacts (33+ artefacts across ALZ, O365, PP, TP, RCSG)</w:t>
      </w:r>
    </w:p>
    <w:p>
      <w:pPr>
        <w:pStyle w:val="Compact"/>
        <w:numPr>
          <w:ilvl w:val="0"/>
          <w:numId w:val="1001"/>
        </w:numPr>
      </w:pPr>
      <w:r>
        <w:t xml:space="preserve">Review strategy documents: Context Summary v3.1, Wave 1 Priorities, Extended Portfolio, BSC framework</w:t>
      </w:r>
    </w:p>
    <w:p>
      <w:pPr>
        <w:pStyle w:val="Compact"/>
        <w:numPr>
          <w:ilvl w:val="0"/>
          <w:numId w:val="1001"/>
        </w:numPr>
      </w:pPr>
      <w:r>
        <w:t xml:space="preserve">Prepare workshop materials: visuals, demo environment, pre-reading pack</w:t>
      </w:r>
    </w:p>
    <w:p>
      <w:pPr>
        <w:pStyle w:val="Compact"/>
        <w:numPr>
          <w:ilvl w:val="0"/>
          <w:numId w:val="1001"/>
        </w:numPr>
      </w:pPr>
      <w:r>
        <w:t xml:space="preserve">Stakeholder briefing calls where required</w:t>
      </w:r>
    </w:p>
    <w:p>
      <w:pPr>
        <w:pStyle w:val="Compact"/>
        <w:numPr>
          <w:ilvl w:val="0"/>
          <w:numId w:val="1001"/>
        </w:numPr>
      </w:pPr>
      <w:r>
        <w:t xml:space="preserve">Stage the ontology visualiser with unified registry for live demo</w:t>
      </w:r>
    </w:p>
    <w:bookmarkEnd w:id="27"/>
    <w:bookmarkStart w:id="28" w:name="phase-b-workshop"/>
    <w:p>
      <w:pPr>
        <w:pStyle w:val="Heading3"/>
      </w:pPr>
      <w:r>
        <w:t xml:space="preserve">Phase B: Workshop</w:t>
      </w:r>
    </w:p>
    <w:p>
      <w:pPr>
        <w:pStyle w:val="Compact"/>
        <w:numPr>
          <w:ilvl w:val="0"/>
          <w:numId w:val="1002"/>
        </w:numPr>
      </w:pPr>
      <w:r>
        <w:t xml:space="preserve">Facilitate the 1-day EA Vision &amp; Roadmap Workshop (EA-PPM-WS-2026-001)</w:t>
      </w:r>
    </w:p>
    <w:p>
      <w:pPr>
        <w:pStyle w:val="Compact"/>
        <w:numPr>
          <w:ilvl w:val="0"/>
          <w:numId w:val="1002"/>
        </w:numPr>
      </w:pPr>
      <w:r>
        <w:t xml:space="preserve">Session 1: The EA Model (capability layers, Enterprise Graph, TOGAF, live demo)</w:t>
      </w:r>
    </w:p>
    <w:p>
      <w:pPr>
        <w:pStyle w:val="Compact"/>
        <w:numPr>
          <w:ilvl w:val="0"/>
          <w:numId w:val="1002"/>
        </w:numPr>
      </w:pPr>
      <w:r>
        <w:t xml:space="preserve">Session 2: Where We Are (audits mapped to EA model, manual process problem, gap summary)</w:t>
      </w:r>
    </w:p>
    <w:p>
      <w:pPr>
        <w:pStyle w:val="Compact"/>
        <w:numPr>
          <w:ilvl w:val="0"/>
          <w:numId w:val="1002"/>
        </w:numPr>
      </w:pPr>
      <w:r>
        <w:t xml:space="preserve">Session 3: The Vision (three pillars framework, capabilities per pillar)</w:t>
      </w:r>
    </w:p>
    <w:p>
      <w:pPr>
        <w:pStyle w:val="Compact"/>
        <w:numPr>
          <w:ilvl w:val="0"/>
          <w:numId w:val="1002"/>
        </w:numPr>
      </w:pPr>
      <w:r>
        <w:t xml:space="preserve">Session 4: The Roadmap (strategic themes, Phase 2 commitments, constraints)</w:t>
      </w:r>
    </w:p>
    <w:p>
      <w:pPr>
        <w:pStyle w:val="Compact"/>
        <w:numPr>
          <w:ilvl w:val="0"/>
          <w:numId w:val="1002"/>
        </w:numPr>
      </w:pPr>
      <w:r>
        <w:t xml:space="preserve">Session 5: Agreement (decisions, design assignment commission, actions)</w:t>
      </w:r>
    </w:p>
    <w:p>
      <w:pPr>
        <w:pStyle w:val="Compact"/>
        <w:numPr>
          <w:ilvl w:val="0"/>
          <w:numId w:val="1002"/>
        </w:numPr>
      </w:pPr>
      <w:r>
        <w:t xml:space="preserve">Real-time capture of decisions and actions in markdown</w:t>
      </w:r>
    </w:p>
    <w:bookmarkEnd w:id="28"/>
    <w:bookmarkStart w:id="29" w:name="phase-c-design-assignment"/>
    <w:p>
      <w:pPr>
        <w:pStyle w:val="Heading3"/>
      </w:pPr>
      <w:r>
        <w:t xml:space="preserve">Phase C: Design Assignment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</w:t>
      </w:r>
      <w:r>
        <w:t xml:space="preserve">: Deep-dive into current state, stakeholder interviews, process catalogue build, gap analysis synthesis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</w:t>
      </w:r>
      <w:r>
        <w:t xml:space="preserve">: EA architecture across 4 layers, Enterprise Graph specification, AI service catalogue, technology ADRs, agentic layer architecture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Specify</w:t>
      </w:r>
      <w:r>
        <w:t xml:space="preserve">: Programme structure, capability roadmap, BSC implementation map, process automation roadmap, final review and presentation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orking-assumptions"/>
    <w:p>
      <w:pPr>
        <w:pStyle w:val="Heading2"/>
      </w:pPr>
      <w:r>
        <w:t xml:space="preserve">5. Working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Stakeholder access is provided for interviews during the design phase (business leads, IT lead, compliance lead)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Existing audit artefacts, strategy documents, and BSC framework are available as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Workshop venue and logistics are arranged by the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Azure and M365 tenant access is provided where required for audit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Programme governance (SA → EA → CTO hierarchy, steering committee) is in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All deliverables are committed to the INS-PPL-AZL GitHub repository via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Programme execution (Phase 2 delivery) is a separate engagement beyond this proposal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what-this-enables"/>
    <w:p>
      <w:pPr>
        <w:pStyle w:val="Heading2"/>
      </w:pPr>
      <w:r>
        <w:t xml:space="preserve">6. What This Enables</w:t>
      </w:r>
    </w:p>
    <w:p>
      <w:pPr>
        <w:pStyle w:val="FirstParagraph"/>
      </w:pPr>
      <w:r>
        <w:t xml:space="preserve">This engagement produces the complete architectural and programme foundation for the AI Strategy Programme:</w:t>
      </w:r>
    </w:p>
    <w:p>
      <w:pPr>
        <w:pStyle w:val="SourceCode"/>
      </w:pPr>
      <w:r>
        <w:rPr>
          <w:rStyle w:val="VerbatimChar"/>
        </w:rPr>
        <w:t xml:space="preserve">This Engagement                          What It Enables</w:t>
      </w:r>
      <w:r>
        <w:br/>
      </w:r>
      <w:r>
        <w:rPr>
          <w:rStyle w:val="VerbatimChar"/>
        </w:rPr>
        <w:t xml:space="preserve">──────────────────                       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EA Architecture Design              →    Structured capability build across 4 layers</w:t>
      </w:r>
      <w:r>
        <w:br/>
      </w:r>
      <w:r>
        <w:rPr>
          <w:rStyle w:val="VerbatimChar"/>
        </w:rPr>
        <w:t xml:space="preserve">Enterprise Graph Specification      →    Foundational information architecture for all AI</w:t>
      </w:r>
      <w:r>
        <w:br/>
      </w:r>
      <w:r>
        <w:rPr>
          <w:rStyle w:val="VerbatimChar"/>
        </w:rPr>
        <w:t xml:space="preserve">Programme Design (14 epics)         →    Sequenced, resourced, dependency-mapped delivery</w:t>
      </w:r>
      <w:r>
        <w:br/>
      </w:r>
      <w:r>
        <w:rPr>
          <w:rStyle w:val="VerbatimChar"/>
        </w:rPr>
        <w:t xml:space="preserve">Technology ADRs (x5)                →    Confident technology selection, not ad hoc choices</w:t>
      </w:r>
      <w:r>
        <w:br/>
      </w:r>
      <w:r>
        <w:rPr>
          <w:rStyle w:val="VerbatimChar"/>
        </w:rPr>
        <w:t xml:space="preserve">Process Automation Assessment       →    Quantified path from 60% → &lt;=20% manual</w:t>
      </w:r>
      <w:r>
        <w:br/>
      </w:r>
      <w:r>
        <w:rPr>
          <w:rStyle w:val="VerbatimChar"/>
        </w:rPr>
        <w:t xml:space="preserve">BSC Implementation Map              →    Every initiative traced to strategic value</w:t>
      </w:r>
      <w:r>
        <w:br/>
      </w:r>
      <w:r>
        <w:rPr>
          <w:rStyle w:val="VerbatimChar"/>
        </w:rPr>
        <w:t xml:space="preserve">Agentic Layer Architecture          →    Safe, governed AI agent scale-out</w:t>
      </w:r>
      <w:r>
        <w:br/>
      </w:r>
      <w:r>
        <w:rPr>
          <w:rStyle w:val="VerbatimChar"/>
        </w:rPr>
        <w:t xml:space="preserve">AI Governance Policy                →    Regulatory compliance from day one</w:t>
      </w:r>
    </w:p>
    <w:p>
      <w:pPr>
        <w:pStyle w:val="FirstParagraph"/>
      </w:pPr>
      <w:r>
        <w:t xml:space="preserve">The steering committee will have everything needed to commission and govern the Phase 2 programme with clarity on scope, sequence, dependencies, and strategic alignment.</w:t>
      </w:r>
    </w:p>
    <w:p>
      <w:r>
        <w:pict>
          <v:rect style="width:0;height:1.5pt" o:hralign="center" o:hrstd="t" o:hr="t"/>
        </w:pict>
      </w:r>
    </w:p>
    <w:bookmarkEnd w:id="32"/>
    <w:bookmarkStart w:id="33" w:name="commercial-summary"/>
    <w:p>
      <w:pPr>
        <w:pStyle w:val="Heading2"/>
      </w:pPr>
      <w:r>
        <w:t xml:space="preserve">7. Commercial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EA Workshop, Design Assignment, and Programme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£15,000 — Fixed Price, All-In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Includes</w:t>
            </w:r>
          </w:p>
        </w:tc>
        <w:tc>
          <w:tcPr/>
          <w:p>
            <w:pPr>
              <w:pStyle w:val="Compact"/>
            </w:pPr>
            <w:r>
              <w:t xml:space="preserve">All professional fees, preparation, workshop facilitation, design work, artefact production, tooling, and repository commits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30% on commissioning, 30% workshop complete, 40% final delivery (14-day terms)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As defined in this proposal — changes managed via steering committee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cceptance"/>
    <w:p>
      <w:pPr>
        <w:pStyle w:val="Heading2"/>
      </w:pPr>
      <w:r>
        <w:t xml:space="preserve">8. Acceptance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 Chair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Programme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EA-PPM-PT-2026-001 — EA Programme Project Team Proposal v1.0</w:t>
      </w:r>
      <w:r>
        <w:t xml:space="preserve"> </w:t>
      </w:r>
      <w:r>
        <w:rPr>
          <w:i/>
          <w:iCs/>
        </w:rPr>
        <w:t xml:space="preserve">Classification: Internal — Commercial in Confidence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2026-02-05T15:22:10Z</dcterms:created>
  <dcterms:modified xsi:type="dcterms:W3CDTF">2026-02-05T15:22:10Z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