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0D3B6E" w:val="clear"/>
            <w:tcMar>
              <w:top w:type="dxa" w:w="1800"/>
              <w:left w:type="dxa" w:w="1440"/>
              <w:bottom w:type="dxa" w:w="1800"/>
              <w:right w:type="dxa" w:w="1440"/>
            </w:tcMar>
          </w:tcPr>
          <w:p>
            <w:pPr>
              <w:spacing w:before="0" w:after="120"/>
            </w:pPr>
            <w:r>
              <w:rPr>
                <w:rFonts w:ascii="Arial" w:cs="Arial" w:eastAsia="Arial" w:hAnsi="Arial"/>
                <w:b/>
                <w:bCs/>
                <w:color w:val="FFFFFF"/>
                <w:spacing w:val="200"/>
                <w:sz w:val="96"/>
                <w:szCs w:val="96"/>
              </w:rPr>
              <w:t xml:space="preserve">N E P T U N E</w:t>
            </w:r>
          </w:p>
          <w:p>
            <w:pPr>
              <w:spacing w:before="0" w:after="80"/>
            </w:pPr>
            <w:r>
              <w:rPr>
                <w:rFonts w:ascii="Arial" w:cs="Arial" w:eastAsia="Arial" w:hAnsi="Arial"/>
                <w:i/>
                <w:iCs/>
                <w:color w:val="7EB8D8"/>
                <w:sz w:val="28"/>
                <w:szCs w:val="28"/>
              </w:rPr>
              <w:t xml:space="preserve">Risk Intelligence Platform</w:t>
            </w:r>
          </w:p>
          <w:p>
            <w:pPr>
              <w:spacing w:before="0" w:after="0"/>
            </w:pPr>
            <w:r>
              <w:rPr>
                <w:rFonts w:ascii="Arial" w:cs="Arial" w:eastAsia="Arial" w:hAnsi="Arial"/>
                <w:color w:val="5A8FAA"/>
                <w:sz w:val="20"/>
                <w:szCs w:val="20"/>
              </w:rPr>
              <w:t xml:space="preserve">Product Roadmap &amp; Feature Specification  ·  Version 1.0</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F8FAFC" w:val="clear"/>
            <w:tcMar>
              <w:top w:type="dxa" w:w="1200"/>
              <w:left w:type="dxa" w:w="1440"/>
              <w:bottom w:type="dxa" w:w="1200"/>
              <w:right w:type="dxa" w:w="1440"/>
            </w:tcMar>
          </w:tcPr>
          <w:p>
            <w:pPr>
              <w:spacing w:before="0" w:after="80"/>
            </w:pPr>
            <w:r>
              <w:rPr>
                <w:rFonts w:ascii="Arial" w:cs="Arial" w:eastAsia="Arial" w:hAnsi="Arial"/>
                <w:b/>
                <w:bCs/>
                <w:color w:val="9CA3AF"/>
                <w:spacing w:val="120"/>
                <w:sz w:val="16"/>
                <w:szCs w:val="16"/>
              </w:rPr>
              <w:t xml:space="preserve">PREPARED FOR</w:t>
            </w:r>
          </w:p>
          <w:p>
            <w:pPr>
              <w:spacing w:before="0" w:after="60"/>
            </w:pPr>
            <w:r>
              <w:rPr>
                <w:rFonts w:ascii="Arial" w:cs="Arial" w:eastAsia="Arial" w:hAnsi="Arial"/>
                <w:b/>
                <w:bCs/>
                <w:color w:val="1F2937"/>
                <w:sz w:val="28"/>
                <w:szCs w:val="28"/>
              </w:rPr>
              <w:t xml:space="preserve">Iridium Capital Management</w:t>
            </w:r>
          </w:p>
          <w:p>
            <w:pPr>
              <w:spacing w:before="0" w:after="200"/>
            </w:pPr>
            <w:r>
              <w:rPr>
                <w:rFonts w:ascii="Arial" w:cs="Arial" w:eastAsia="Arial" w:hAnsi="Arial"/>
                <w:i/>
                <w:iCs/>
                <w:color w:val="4B5563"/>
                <w:sz w:val="20"/>
                <w:szCs w:val="20"/>
              </w:rPr>
              <w:t xml:space="preserve">Activist · Market Neutral · Quant-Enabled</w:t>
            </w:r>
          </w:p>
          <w:p>
            <w:pPr>
              <w:spacing w:before="0" w:after="60"/>
            </w:pPr>
            <w:r>
              <w:rPr>
                <w:rFonts w:ascii="Arial" w:cs="Arial" w:eastAsia="Arial" w:hAnsi="Arial"/>
                <w:color w:val="9CA3AF"/>
                <w:sz w:val="18"/>
                <w:szCs w:val="18"/>
              </w:rPr>
              <w:t xml:space="preserve">Classification:  </w:t>
            </w:r>
            <w:r>
              <w:rPr>
                <w:rFonts w:ascii="Arial" w:cs="Arial" w:eastAsia="Arial" w:hAnsi="Arial"/>
                <w:b/>
                <w:bCs/>
                <w:color w:val="DC2626"/>
                <w:sz w:val="18"/>
                <w:szCs w:val="18"/>
              </w:rPr>
              <w:t xml:space="preserve">CONFIDENTIAL — INTERNAL USE ONLY</w:t>
            </w:r>
          </w:p>
          <w:p>
            <w:pPr>
              <w:spacing w:before="0" w:after="60"/>
            </w:pPr>
            <w:r>
              <w:rPr>
                <w:rFonts w:ascii="Arial" w:cs="Arial" w:eastAsia="Arial" w:hAnsi="Arial"/>
                <w:color w:val="9CA3AF"/>
                <w:sz w:val="18"/>
                <w:szCs w:val="18"/>
              </w:rPr>
              <w:t xml:space="preserve">Date:  </w:t>
            </w:r>
            <w:r>
              <w:rPr>
                <w:rFonts w:ascii="Arial" w:cs="Arial" w:eastAsia="Arial" w:hAnsi="Arial"/>
                <w:color w:val="1F2937"/>
                <w:sz w:val="18"/>
                <w:szCs w:val="18"/>
              </w:rPr>
              <w:t xml:space="preserve">March 2026</w:t>
            </w:r>
          </w:p>
          <w:p>
            <w:pPr>
              <w:spacing w:before="0" w:after="60"/>
            </w:pPr>
            <w:r>
              <w:rPr>
                <w:rFonts w:ascii="Arial" w:cs="Arial" w:eastAsia="Arial" w:hAnsi="Arial"/>
                <w:color w:val="9CA3AF"/>
                <w:sz w:val="18"/>
                <w:szCs w:val="18"/>
              </w:rPr>
              <w:t xml:space="preserve">Status:  </w:t>
            </w:r>
            <w:r>
              <w:rPr>
                <w:rFonts w:ascii="Arial" w:cs="Arial" w:eastAsia="Arial" w:hAnsi="Arial"/>
                <w:color w:val="1F2937"/>
                <w:sz w:val="18"/>
                <w:szCs w:val="18"/>
              </w:rPr>
              <w:t xml:space="preserve">Active Development — Phase 1 Underway</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8640"/>
        <w:gridCol w:w="3600"/>
      </w:tblGrid>
      <w:tr>
        <w:tc>
          <w:tcPr>
            <w:tcW w:type="dxa" w:w="8640"/>
            <w:tcBorders>
              <w:top w:val="none" w:color="FFFFFF" w:sz="0"/>
              <w:left w:val="none" w:color="FFFFFF" w:sz="0"/>
              <w:bottom w:val="none" w:color="FFFFFF" w:sz="0"/>
              <w:right w:val="none" w:color="FFFFFF" w:sz="0"/>
            </w:tcBorders>
            <w:shd w:fill="1A56A0" w:val="clear"/>
            <w:tcMar>
              <w:top w:type="dxa" w:w="360"/>
              <w:left w:type="dxa" w:w="1440"/>
              <w:bottom w:type="dxa" w:w="360"/>
              <w:right w:type="dxa" w:w="1440"/>
            </w:tcMar>
          </w:tcPr>
          <w:p>
            <w:r>
              <w:rPr>
                <w:rFonts w:ascii="Arial" w:cs="Arial" w:eastAsia="Arial" w:hAnsi="Arial"/>
                <w:i/>
                <w:iCs/>
                <w:color w:val="A8CFEC"/>
                <w:sz w:val="18"/>
                <w:szCs w:val="18"/>
              </w:rPr>
              <w:t xml:space="preserve">Activism 3.0 — Quantitative Infrastructure for Fundamental Conviction</w:t>
            </w:r>
          </w:p>
        </w:tc>
        <w:tc>
          <w:tcPr>
            <w:tcW w:type="dxa" w:w="3600"/>
            <w:tcBorders>
              <w:top w:val="none" w:color="FFFFFF" w:sz="0"/>
              <w:left w:val="none" w:color="FFFFFF" w:sz="0"/>
              <w:bottom w:val="none" w:color="FFFFFF" w:sz="0"/>
              <w:right w:val="none" w:color="FFFFFF" w:sz="0"/>
            </w:tcBorders>
            <w:shd w:fill="0EA5C8" w:val="clear"/>
            <w:tcMar>
              <w:top w:type="dxa" w:w="360"/>
              <w:left w:type="dxa" w:w="240"/>
              <w:bottom w:type="dxa" w:w="360"/>
              <w:right w:type="dxa" w:w="240"/>
            </w:tcMar>
            <w:vAlign w:val="center"/>
          </w:tcPr>
          <w:p>
            <w:pPr>
              <w:jc w:val="center"/>
            </w:pPr>
            <w:r>
              <w:rPr>
                <w:rFonts w:ascii="Arial" w:cs="Arial" w:eastAsia="Arial" w:hAnsi="Arial"/>
                <w:b/>
                <w:bCs/>
                <w:color w:val="FFFFFF"/>
                <w:sz w:val="18"/>
                <w:szCs w:val="18"/>
              </w:rPr>
              <w:t xml:space="preserve">neptune · v1.0</w:t>
            </w:r>
          </w:p>
        </w:tc>
      </w:tr>
    </w:tbl>
    <w:p>
      <w:pPr>
        <w:sectPr>
          <w:pgSz w:w="12240" w:h="15840" w:orient="portrait"/>
          <w:pgMar w:top="0" w:right="0" w:bottom="0" w:left="0" w:header="708" w:footer="708" w:gutter="0"/>
          <w:pgNumType/>
          <w:docGrid w:linePitch="360"/>
        </w:sectPr>
      </w:pPr>
    </w:p>
    <w:p>
      <w:pPr>
        <w:spacing w:before="320" w:after="80"/>
      </w:pPr>
      <w:r>
        <w:rPr>
          <w:rFonts w:ascii="Arial" w:cs="Arial" w:eastAsia="Arial" w:hAnsi="Arial"/>
          <w:b/>
          <w:bCs/>
          <w:color w:val="0EA5C8"/>
          <w:spacing w:val="80"/>
          <w:sz w:val="16"/>
          <w:szCs w:val="16"/>
        </w:rPr>
        <w:t xml:space="preserve">01</w:t>
      </w:r>
    </w:p>
    <w:p>
      <w:pPr>
        <w:pStyle w:val="Heading1"/>
        <w:spacing w:before="60" w:after="160"/>
      </w:pPr>
      <w:r>
        <w:rPr>
          <w:rFonts w:ascii="Arial" w:cs="Arial" w:eastAsia="Arial" w:hAnsi="Arial"/>
          <w:b/>
          <w:bCs/>
          <w:color w:val="0D3B6E"/>
          <w:sz w:val="36"/>
          <w:szCs w:val="36"/>
        </w:rPr>
        <w:t xml:space="preserve">Executive Summary</w:t>
      </w:r>
    </w:p>
    <w:p>
      <w:pPr>
        <w:pBdr>
          <w:bottom w:val="single" w:color="1A56A0" w:sz="8" w:space="1"/>
        </w:pBdr>
        <w:spacing w:before="60" w:after="60"/>
      </w:pPr>
    </w:p>
    <w:p>
      <w:pPr>
        <w:spacing w:before="100" w:after="100"/>
      </w:pPr>
    </w:p>
    <w:p>
      <w:pPr>
        <w:spacing w:before="60" w:after="100"/>
      </w:pPr>
      <w:r>
        <w:rPr>
          <w:rFonts w:ascii="Arial" w:cs="Arial" w:eastAsia="Arial" w:hAnsi="Arial"/>
          <w:b w:val="false"/>
          <w:bCs w:val="false"/>
          <w:i w:val="false"/>
          <w:iCs w:val="false"/>
          <w:color w:val="1F2937"/>
          <w:sz w:val="20"/>
          <w:szCs w:val="20"/>
        </w:rPr>
        <w:t xml:space="preserve">Neptune is a proprietary quantitative risk intelligence platform designed exclusively for Iridium Capital Management. It provides institutional-grade beta management, multi-factor exposure monitoring, and automated short book construction for an activist hedge fund running a market-neutral mandate.</w:t>
      </w:r>
    </w:p>
    <w:p>
      <w:pPr>
        <w:spacing w:before="60" w:after="60"/>
      </w:pPr>
    </w:p>
    <w:p>
      <w:pPr>
        <w:spacing w:before="60" w:after="100"/>
      </w:pPr>
      <w:r>
        <w:rPr>
          <w:rFonts w:ascii="Arial" w:cs="Arial" w:eastAsia="Arial" w:hAnsi="Arial"/>
          <w:b w:val="false"/>
          <w:bCs w:val="false"/>
          <w:i w:val="false"/>
          <w:iCs w:val="false"/>
          <w:color w:val="1F2937"/>
          <w:sz w:val="20"/>
          <w:szCs w:val="20"/>
        </w:rPr>
        <w:t xml:space="preserve">The platform operationalizes the core investment discipline of Activism 3.0: maintaining the concentrated, high-conviction fundamental long book that drives alpha, while delegating all risk management and hedging decisions to a rigorous quantitative framework. Neptune does not pick stocks — it ensures that every position taken by the investment team is surrounded by mathematically precise risk controls.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EA5C8" w:val="clear"/>
          </w:tcPr>
          <w:p/>
        </w:tc>
        <w:tc>
          <w:tcPr>
            <w:tcW w:type="dxa" w:w="9080"/>
            <w:tcBorders>
              <w:top w:val="none" w:color="FFFFFF" w:sz="0"/>
              <w:left w:val="none" w:color="FFFFFF" w:sz="0"/>
              <w:bottom w:val="none" w:color="FFFFFF" w:sz="0"/>
              <w:right w:val="none" w:color="FFFFFF" w:sz="0"/>
            </w:tcBorders>
            <w:shd w:fill="E0F2FE" w:val="clear"/>
            <w:tcMar>
              <w:top w:type="dxa" w:w="120"/>
              <w:left w:type="dxa" w:w="200"/>
              <w:bottom w:type="dxa" w:w="120"/>
              <w:right w:type="dxa" w:w="120"/>
            </w:tcMar>
          </w:tcPr>
          <w:p>
            <w:pPr>
              <w:spacing w:before="0" w:after="40"/>
            </w:pPr>
            <w:r>
              <w:rPr>
                <w:rFonts w:ascii="Arial" w:cs="Arial" w:eastAsia="Arial" w:hAnsi="Arial"/>
                <w:b/>
                <w:bCs/>
                <w:color w:val="1A56A0"/>
                <w:sz w:val="18"/>
                <w:szCs w:val="18"/>
              </w:rPr>
              <w:t xml:space="preserve">Strategic Purpose</w:t>
            </w:r>
          </w:p>
          <w:p>
            <w:pPr>
              <w:spacing w:before="0" w:after="0"/>
            </w:pPr>
            <w:r>
              <w:rPr>
                <w:rFonts w:ascii="Arial" w:cs="Arial" w:eastAsia="Arial" w:hAnsi="Arial"/>
                <w:color w:val="1F2937"/>
                <w:sz w:val="18"/>
                <w:szCs w:val="18"/>
              </w:rPr>
              <w:t xml:space="preserve">Neptune eliminates the gap between activist-quality fundamental research and systematic-quality risk infrastructure. It gives Iridium the institutional language of a quant fund without compromising the deep fundamental conviction that makes activism work.</w:t>
            </w:r>
          </w:p>
        </w:tc>
      </w:tr>
    </w:tbl>
    <w:p>
      <w:pPr>
        <w:spacing w:before="120" w:after="60"/>
      </w:pPr>
    </w:p>
    <w:p>
      <w:pPr>
        <w:spacing w:before="60" w:after="100"/>
      </w:pPr>
      <w:r>
        <w:rPr>
          <w:rFonts w:ascii="Arial" w:cs="Arial" w:eastAsia="Arial" w:hAnsi="Arial"/>
          <w:b w:val="false"/>
          <w:bCs w:val="false"/>
          <w:i w:val="false"/>
          <w:iCs w:val="false"/>
          <w:color w:val="1F2937"/>
          <w:sz w:val="20"/>
          <w:szCs w:val="20"/>
        </w:rPr>
        <w:t xml:space="preserve">The platform is organized into five sequential build phases, each delivering standalone value while building toward a fully integrated risk operating system:</w:t>
      </w:r>
    </w:p>
    <w:p>
      <w:pPr>
        <w:spacing w:before="40" w:after="40"/>
      </w:pPr>
    </w:p>
    <w:p>
      <w:pPr>
        <w:pStyle w:val="ListParagraph"/>
        <w:numPr>
          <w:ilvl w:val="0"/>
          <w:numId w:val="2"/>
        </w:numPr>
        <w:spacing w:before="40" w:after="40"/>
      </w:pPr>
      <w:r>
        <w:rPr>
          <w:rFonts w:ascii="Arial" w:cs="Arial" w:eastAsia="Arial" w:hAnsi="Arial"/>
          <w:b/>
          <w:bCs/>
          <w:color w:val="1A56A0"/>
          <w:sz w:val="20"/>
          <w:szCs w:val="20"/>
        </w:rPr>
        <w:t xml:space="preserve">Phase 1 — Position Manager — </w:t>
      </w:r>
      <w:r>
        <w:rPr>
          <w:rFonts w:ascii="Arial" w:cs="Arial" w:eastAsia="Arial" w:hAnsi="Arial"/>
          <w:color w:val="1F2937"/>
          <w:sz w:val="20"/>
          <w:szCs w:val="20"/>
        </w:rPr>
        <w:t xml:space="preserve">Manual position entry, real-time beta calculation, sector exposure visualization.</w:t>
      </w:r>
    </w:p>
    <w:p>
      <w:pPr>
        <w:pStyle w:val="ListParagraph"/>
        <w:numPr>
          <w:ilvl w:val="0"/>
          <w:numId w:val="2"/>
        </w:numPr>
        <w:spacing w:before="40" w:after="40"/>
      </w:pPr>
      <w:r>
        <w:rPr>
          <w:rFonts w:ascii="Arial" w:cs="Arial" w:eastAsia="Arial" w:hAnsi="Arial"/>
          <w:b/>
          <w:bCs/>
          <w:color w:val="1A56A0"/>
          <w:sz w:val="20"/>
          <w:szCs w:val="20"/>
        </w:rPr>
        <w:t xml:space="preserve">Phase 2 — Beta Engine — </w:t>
      </w:r>
      <w:r>
        <w:rPr>
          <w:rFonts w:ascii="Arial" w:cs="Arial" w:eastAsia="Arial" w:hAnsi="Arial"/>
          <w:color w:val="1F2937"/>
          <w:sz w:val="20"/>
          <w:szCs w:val="20"/>
        </w:rPr>
        <w:t xml:space="preserve">Automated return data ingestion, rolling EWMA regression, Vasicek shrinkage, Dimson illiquidity adjustment.</w:t>
      </w:r>
    </w:p>
    <w:p>
      <w:pPr>
        <w:pStyle w:val="ListParagraph"/>
        <w:numPr>
          <w:ilvl w:val="0"/>
          <w:numId w:val="2"/>
        </w:numPr>
        <w:spacing w:before="40" w:after="40"/>
      </w:pPr>
      <w:r>
        <w:rPr>
          <w:rFonts w:ascii="Arial" w:cs="Arial" w:eastAsia="Arial" w:hAnsi="Arial"/>
          <w:b/>
          <w:bCs/>
          <w:color w:val="1A56A0"/>
          <w:sz w:val="20"/>
          <w:szCs w:val="20"/>
        </w:rPr>
        <w:t xml:space="preserve">Phase 3 — Hedge Optimizer — </w:t>
      </w:r>
      <w:r>
        <w:rPr>
          <w:rFonts w:ascii="Arial" w:cs="Arial" w:eastAsia="Arial" w:hAnsi="Arial"/>
          <w:color w:val="1F2937"/>
          <w:sz w:val="20"/>
          <w:szCs w:val="20"/>
        </w:rPr>
        <w:t xml:space="preserve">Five-factor decomposition, CVX quadratic programming, automated ETF short basket construction.</w:t>
      </w:r>
    </w:p>
    <w:p>
      <w:pPr>
        <w:pStyle w:val="ListParagraph"/>
        <w:numPr>
          <w:ilvl w:val="0"/>
          <w:numId w:val="2"/>
        </w:numPr>
        <w:spacing w:before="40" w:after="40"/>
      </w:pPr>
      <w:r>
        <w:rPr>
          <w:rFonts w:ascii="Arial" w:cs="Arial" w:eastAsia="Arial" w:hAnsi="Arial"/>
          <w:b/>
          <w:bCs/>
          <w:color w:val="1A56A0"/>
          <w:sz w:val="20"/>
          <w:szCs w:val="20"/>
        </w:rPr>
        <w:t xml:space="preserve">Phase 4 — Live Risk Dashboard — </w:t>
      </w:r>
      <w:r>
        <w:rPr>
          <w:rFonts w:ascii="Arial" w:cs="Arial" w:eastAsia="Arial" w:hAnsi="Arial"/>
          <w:color w:val="1F2937"/>
          <w:sz w:val="20"/>
          <w:szCs w:val="20"/>
        </w:rPr>
        <w:t xml:space="preserve">Real-time exposure monitoring, drift alerts, rebalancing signals, PnL attribution.</w:t>
      </w:r>
    </w:p>
    <w:p>
      <w:pPr>
        <w:pStyle w:val="ListParagraph"/>
        <w:numPr>
          <w:ilvl w:val="0"/>
          <w:numId w:val="2"/>
        </w:numPr>
        <w:spacing w:before="40" w:after="40"/>
      </w:pPr>
      <w:r>
        <w:rPr>
          <w:rFonts w:ascii="Arial" w:cs="Arial" w:eastAsia="Arial" w:hAnsi="Arial"/>
          <w:b/>
          <w:bCs/>
          <w:color w:val="1A56A0"/>
          <w:sz w:val="20"/>
          <w:szCs w:val="20"/>
        </w:rPr>
        <w:t xml:space="preserve">Phase 5 — Stress &amp; Scenario Engine — </w:t>
      </w:r>
      <w:r>
        <w:rPr>
          <w:rFonts w:ascii="Arial" w:cs="Arial" w:eastAsia="Arial" w:hAnsi="Arial"/>
          <w:color w:val="1F2937"/>
          <w:sz w:val="20"/>
          <w:szCs w:val="20"/>
        </w:rPr>
        <w:t xml:space="preserve">Historical scenario replay, correlation shock testing, tail risk quantification.</w:t>
      </w:r>
    </w:p>
    <w:p>
      <w:pPr>
        <w:spacing w:before="120" w:after="60"/>
      </w:pPr>
    </w:p>
    <w:p>
      <w:r>
        <w:br w:type="page"/>
      </w:r>
    </w:p>
    <w:p>
      <w:pPr>
        <w:spacing w:before="320" w:after="80"/>
      </w:pPr>
      <w:r>
        <w:rPr>
          <w:rFonts w:ascii="Arial" w:cs="Arial" w:eastAsia="Arial" w:hAnsi="Arial"/>
          <w:b/>
          <w:bCs/>
          <w:color w:val="0EA5C8"/>
          <w:spacing w:val="80"/>
          <w:sz w:val="16"/>
          <w:szCs w:val="16"/>
        </w:rPr>
        <w:t xml:space="preserve">02</w:t>
      </w:r>
    </w:p>
    <w:p>
      <w:pPr>
        <w:pStyle w:val="Heading1"/>
        <w:spacing w:before="60" w:after="160"/>
      </w:pPr>
      <w:r>
        <w:rPr>
          <w:rFonts w:ascii="Arial" w:cs="Arial" w:eastAsia="Arial" w:hAnsi="Arial"/>
          <w:b/>
          <w:bCs/>
          <w:color w:val="0D3B6E"/>
          <w:sz w:val="36"/>
          <w:szCs w:val="36"/>
        </w:rPr>
        <w:t xml:space="preserve">Platform Philosophy</w:t>
      </w:r>
    </w:p>
    <w:p>
      <w:pPr>
        <w:pBdr>
          <w:bottom w:val="single" w:color="1A56A0" w:sz="8" w:space="1"/>
        </w:pBdr>
        <w:spacing w:before="60" w:after="60"/>
      </w:pPr>
    </w:p>
    <w:p>
      <w:pPr>
        <w:spacing w:before="100" w:after="60"/>
      </w:pPr>
    </w:p>
    <w:p>
      <w:pPr>
        <w:pStyle w:val="Heading2"/>
        <w:spacing w:before="200" w:after="100"/>
      </w:pPr>
      <w:r>
        <w:rPr>
          <w:rFonts w:ascii="Arial" w:cs="Arial" w:eastAsia="Arial" w:hAnsi="Arial"/>
          <w:b/>
          <w:bCs/>
          <w:color w:val="1A56A0"/>
          <w:sz w:val="26"/>
          <w:szCs w:val="26"/>
        </w:rPr>
        <w:t xml:space="preserve">Activism 3.0 — The Design Mandate</w:t>
      </w:r>
    </w:p>
    <w:p>
      <w:pPr>
        <w:spacing w:before="60" w:after="100"/>
      </w:pPr>
      <w:r>
        <w:rPr>
          <w:rFonts w:ascii="Arial" w:cs="Arial" w:eastAsia="Arial" w:hAnsi="Arial"/>
          <w:b w:val="false"/>
          <w:bCs w:val="false"/>
          <w:i w:val="false"/>
          <w:iCs w:val="false"/>
          <w:color w:val="1F2937"/>
          <w:sz w:val="20"/>
          <w:szCs w:val="20"/>
        </w:rPr>
        <w:t xml:space="preserve">Traditional activist funds manage risk through intuition, relationship, and rough hedges. The first generation of quantitative funds manage risk with precision but sacrifice the qualitative judgment that makes activism effective. Neptune is designed for neither of these worlds.</w:t>
      </w:r>
    </w:p>
    <w:p>
      <w:pPr>
        <w:spacing w:before="60" w:after="60"/>
      </w:pPr>
    </w:p>
    <w:p>
      <w:pPr>
        <w:spacing w:before="60" w:after="100"/>
      </w:pPr>
      <w:r>
        <w:rPr>
          <w:rFonts w:ascii="Arial" w:cs="Arial" w:eastAsia="Arial" w:hAnsi="Arial"/>
          <w:b w:val="false"/>
          <w:bCs w:val="false"/>
          <w:i w:val="false"/>
          <w:iCs w:val="false"/>
          <w:color w:val="1F2937"/>
          <w:sz w:val="20"/>
          <w:szCs w:val="20"/>
        </w:rPr>
        <w:t xml:space="preserve">Iridium's investment edge is fundamental conviction — identifying mismanaged companies, undervalued assets, and catalysts others cannot see. Neptune's job is to protect that edge from being eroded by unintended factor exposures, market beta drift, or systematic risk that has nothing to do with the thesis.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EA5C8" w:val="clear"/>
          </w:tcPr>
          <w:p/>
        </w:tc>
        <w:tc>
          <w:tcPr>
            <w:tcW w:type="dxa" w:w="9080"/>
            <w:tcBorders>
              <w:top w:val="none" w:color="FFFFFF" w:sz="0"/>
              <w:left w:val="none" w:color="FFFFFF" w:sz="0"/>
              <w:bottom w:val="none" w:color="FFFFFF" w:sz="0"/>
              <w:right w:val="none" w:color="FFFFFF" w:sz="0"/>
            </w:tcBorders>
            <w:shd w:fill="E0F2FE" w:val="clear"/>
            <w:tcMar>
              <w:top w:type="dxa" w:w="120"/>
              <w:left w:type="dxa" w:w="200"/>
              <w:bottom w:type="dxa" w:w="120"/>
              <w:right w:type="dxa" w:w="120"/>
            </w:tcMar>
          </w:tcPr>
          <w:p>
            <w:pPr>
              <w:spacing w:before="0" w:after="40"/>
            </w:pPr>
            <w:r>
              <w:rPr>
                <w:rFonts w:ascii="Arial" w:cs="Arial" w:eastAsia="Arial" w:hAnsi="Arial"/>
                <w:b/>
                <w:bCs/>
                <w:color w:val="1A56A0"/>
                <w:sz w:val="18"/>
                <w:szCs w:val="18"/>
              </w:rPr>
              <w:t xml:space="preserve">Design Principle</w:t>
            </w:r>
          </w:p>
          <w:p>
            <w:pPr>
              <w:spacing w:before="0" w:after="0"/>
            </w:pPr>
            <w:r>
              <w:rPr>
                <w:rFonts w:ascii="Arial" w:cs="Arial" w:eastAsia="Arial" w:hAnsi="Arial"/>
                <w:color w:val="1F2937"/>
                <w:sz w:val="18"/>
                <w:szCs w:val="18"/>
              </w:rPr>
              <w:t xml:space="preserve">Neptune handles everything that can be modeled mathematically, so the investment team can focus exclusively on everything that cannot.</w:t>
            </w:r>
          </w:p>
        </w:tc>
      </w:tr>
    </w:tbl>
    <w:p>
      <w:pPr>
        <w:spacing w:before="120" w:after="60"/>
      </w:pPr>
    </w:p>
    <w:p>
      <w:pPr>
        <w:pStyle w:val="Heading2"/>
        <w:spacing w:before="200" w:after="100"/>
      </w:pPr>
      <w:r>
        <w:rPr>
          <w:rFonts w:ascii="Arial" w:cs="Arial" w:eastAsia="Arial" w:hAnsi="Arial"/>
          <w:b/>
          <w:bCs/>
          <w:color w:val="1A56A0"/>
          <w:sz w:val="26"/>
          <w:szCs w:val="26"/>
        </w:rPr>
        <w:t xml:space="preserve">The Three-Layer Architecture</w:t>
      </w:r>
    </w:p>
    <w:p>
      <w:pPr>
        <w:spacing w:before="40" w:after="60"/>
      </w:pPr>
    </w:p>
    <w:p>
      <w:pPr>
        <w:pStyle w:val="ListParagraph"/>
        <w:numPr>
          <w:ilvl w:val="0"/>
          <w:numId w:val="2"/>
        </w:numPr>
        <w:spacing w:before="40" w:after="40"/>
      </w:pPr>
      <w:r>
        <w:rPr>
          <w:rFonts w:ascii="Arial" w:cs="Arial" w:eastAsia="Arial" w:hAnsi="Arial"/>
          <w:b/>
          <w:bCs/>
          <w:color w:val="1A56A0"/>
          <w:sz w:val="20"/>
          <w:szCs w:val="20"/>
        </w:rPr>
        <w:t xml:space="preserve">Layer 1 — The Quant Engine (fully automated) — </w:t>
      </w:r>
      <w:r>
        <w:rPr>
          <w:rFonts w:ascii="Arial" w:cs="Arial" w:eastAsia="Arial" w:hAnsi="Arial"/>
          <w:color w:val="1F2937"/>
          <w:sz w:val="20"/>
          <w:szCs w:val="20"/>
        </w:rPr>
        <w:t xml:space="preserve">Beta estimation, factor decomposition, short book optimization, and rebalancing signals run on a scheduled basis without human intervention. This layer speaks only in mathematics.</w:t>
      </w:r>
    </w:p>
    <w:p>
      <w:pPr>
        <w:pStyle w:val="ListParagraph"/>
        <w:numPr>
          <w:ilvl w:val="0"/>
          <w:numId w:val="2"/>
        </w:numPr>
        <w:spacing w:before="40" w:after="40"/>
      </w:pPr>
      <w:r>
        <w:rPr>
          <w:rFonts w:ascii="Arial" w:cs="Arial" w:eastAsia="Arial" w:hAnsi="Arial"/>
          <w:b/>
          <w:bCs/>
          <w:color w:val="1A56A0"/>
          <w:sz w:val="20"/>
          <w:szCs w:val="20"/>
        </w:rPr>
        <w:t xml:space="preserve">Layer 2 — The Risk Interface (math informing humans) — </w:t>
      </w:r>
      <w:r>
        <w:rPr>
          <w:rFonts w:ascii="Arial" w:cs="Arial" w:eastAsia="Arial" w:hAnsi="Arial"/>
          <w:color w:val="1F2937"/>
          <w:sz w:val="20"/>
          <w:szCs w:val="20"/>
        </w:rPr>
        <w:t xml:space="preserve">Neptune translates quantitative output into actionable intelligence for the investment team. Dashboards, alerts, and recommendations bridge the model and the decision.</w:t>
      </w:r>
    </w:p>
    <w:p>
      <w:pPr>
        <w:pStyle w:val="ListParagraph"/>
        <w:numPr>
          <w:ilvl w:val="0"/>
          <w:numId w:val="2"/>
        </w:numPr>
        <w:spacing w:before="40" w:after="40"/>
      </w:pPr>
      <w:r>
        <w:rPr>
          <w:rFonts w:ascii="Arial" w:cs="Arial" w:eastAsia="Arial" w:hAnsi="Arial"/>
          <w:b/>
          <w:bCs/>
          <w:color w:val="1A56A0"/>
          <w:sz w:val="20"/>
          <w:szCs w:val="20"/>
        </w:rPr>
        <w:t xml:space="preserve">Layer 3 — The Fundamental Layer (human judgment only) — </w:t>
      </w:r>
      <w:r>
        <w:rPr>
          <w:rFonts w:ascii="Arial" w:cs="Arial" w:eastAsia="Arial" w:hAnsi="Arial"/>
          <w:color w:val="1F2937"/>
          <w:sz w:val="20"/>
          <w:szCs w:val="20"/>
        </w:rPr>
        <w:t xml:space="preserve">Target selection, thesis development, campaign execution. Neptune never touches this layer. It simply ensures the risk around it is clean.</w:t>
      </w:r>
    </w:p>
    <w:p>
      <w:pPr>
        <w:spacing w:before="120" w:after="60"/>
      </w:pPr>
    </w:p>
    <w:p>
      <w:pPr>
        <w:pStyle w:val="Heading2"/>
        <w:spacing w:before="200" w:after="100"/>
      </w:pPr>
      <w:r>
        <w:rPr>
          <w:rFonts w:ascii="Arial" w:cs="Arial" w:eastAsia="Arial" w:hAnsi="Arial"/>
          <w:b/>
          <w:bCs/>
          <w:color w:val="1A56A0"/>
          <w:sz w:val="26"/>
          <w:szCs w:val="26"/>
        </w:rPr>
        <w:t xml:space="preserve">Beta Management Philosophy</w:t>
      </w:r>
    </w:p>
    <w:p>
      <w:pPr>
        <w:spacing w:before="60" w:after="100"/>
      </w:pPr>
      <w:r>
        <w:rPr>
          <w:rFonts w:ascii="Arial" w:cs="Arial" w:eastAsia="Arial" w:hAnsi="Arial"/>
          <w:b w:val="false"/>
          <w:bCs w:val="false"/>
          <w:i w:val="false"/>
          <w:iCs w:val="false"/>
          <w:color w:val="1F2937"/>
          <w:sz w:val="20"/>
          <w:szCs w:val="20"/>
        </w:rPr>
        <w:t xml:space="preserve">The short book at Iridium serves one purpose: to neutralize the market beta on the long book. It is not a source of alpha, not a view on the market, and not a speculative position. It is engineering.</w:t>
      </w:r>
    </w:p>
    <w:p>
      <w:pPr>
        <w:spacing w:before="60" w:after="60"/>
      </w:pPr>
    </w:p>
    <w:p>
      <w:pPr>
        <w:spacing w:before="60" w:after="100"/>
      </w:pPr>
      <w:r>
        <w:rPr>
          <w:rFonts w:ascii="Arial" w:cs="Arial" w:eastAsia="Arial" w:hAnsi="Arial"/>
          <w:b w:val="false"/>
          <w:bCs w:val="false"/>
          <w:i w:val="false"/>
          <w:iCs w:val="false"/>
          <w:color w:val="1F2937"/>
          <w:sz w:val="20"/>
          <w:szCs w:val="20"/>
        </w:rPr>
        <w:t xml:space="preserve">This distinction has profound implications for how the short book is constructed. A human-driven short book introduces discretionary risk — someone decides what to short, when to cover, and how much. A factor-based, optimizer-driven short book removes that discretion entirely. The math decides. The system executes. The PM focuses on the long book.</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EA5C8" w:val="clear"/>
          </w:tcPr>
          <w:p/>
        </w:tc>
        <w:tc>
          <w:tcPr>
            <w:tcW w:type="dxa" w:w="9080"/>
            <w:tcBorders>
              <w:top w:val="none" w:color="FFFFFF" w:sz="0"/>
              <w:left w:val="none" w:color="FFFFFF" w:sz="0"/>
              <w:bottom w:val="none" w:color="FFFFFF" w:sz="0"/>
              <w:right w:val="none" w:color="FFFFFF" w:sz="0"/>
            </w:tcBorders>
            <w:shd w:fill="E0F2FE" w:val="clear"/>
            <w:tcMar>
              <w:top w:type="dxa" w:w="120"/>
              <w:left w:type="dxa" w:w="200"/>
              <w:bottom w:type="dxa" w:w="120"/>
              <w:right w:type="dxa" w:w="120"/>
            </w:tcMar>
          </w:tcPr>
          <w:p>
            <w:pPr>
              <w:spacing w:before="0" w:after="40"/>
            </w:pPr>
            <w:r>
              <w:rPr>
                <w:rFonts w:ascii="Arial" w:cs="Arial" w:eastAsia="Arial" w:hAnsi="Arial"/>
                <w:b/>
                <w:bCs/>
                <w:color w:val="1A56A0"/>
                <w:sz w:val="18"/>
                <w:szCs w:val="18"/>
              </w:rPr>
              <w:t xml:space="preserve">Key Insight</w:t>
            </w:r>
          </w:p>
          <w:p>
            <w:pPr>
              <w:spacing w:before="0" w:after="0"/>
            </w:pPr>
            <w:r>
              <w:rPr>
                <w:rFonts w:ascii="Arial" w:cs="Arial" w:eastAsia="Arial" w:hAnsi="Arial"/>
                <w:color w:val="1F2937"/>
                <w:sz w:val="18"/>
                <w:szCs w:val="18"/>
              </w:rPr>
              <w:t xml:space="preserve">When your short book is a mathematical output rather than a human decision, you eliminate an entire category of behavioral risk from your portfolio construction process.</w:t>
            </w:r>
          </w:p>
        </w:tc>
      </w:tr>
    </w:tbl>
    <w:p>
      <w:pPr>
        <w:spacing w:before="120" w:after="60"/>
      </w:pPr>
    </w:p>
    <w:p>
      <w:r>
        <w:br w:type="page"/>
      </w:r>
    </w:p>
    <w:p>
      <w:pPr>
        <w:spacing w:before="320" w:after="80"/>
      </w:pPr>
      <w:r>
        <w:rPr>
          <w:rFonts w:ascii="Arial" w:cs="Arial" w:eastAsia="Arial" w:hAnsi="Arial"/>
          <w:b/>
          <w:bCs/>
          <w:color w:val="0EA5C8"/>
          <w:spacing w:val="80"/>
          <w:sz w:val="16"/>
          <w:szCs w:val="16"/>
        </w:rPr>
        <w:t xml:space="preserve">03</w:t>
      </w:r>
    </w:p>
    <w:p>
      <w:pPr>
        <w:pStyle w:val="Heading1"/>
        <w:spacing w:before="60" w:after="160"/>
      </w:pPr>
      <w:r>
        <w:rPr>
          <w:rFonts w:ascii="Arial" w:cs="Arial" w:eastAsia="Arial" w:hAnsi="Arial"/>
          <w:b/>
          <w:bCs/>
          <w:color w:val="0D3B6E"/>
          <w:sz w:val="36"/>
          <w:szCs w:val="36"/>
        </w:rPr>
        <w:t xml:space="preserve">Beta Estimation Methodology</w:t>
      </w:r>
    </w:p>
    <w:p>
      <w:pPr>
        <w:pBdr>
          <w:bottom w:val="single" w:color="1A56A0" w:sz="8" w:space="1"/>
        </w:pBdr>
        <w:spacing w:before="60" w:after="60"/>
      </w:pPr>
    </w:p>
    <w:p>
      <w:pPr>
        <w:spacing w:before="100" w:after="60"/>
      </w:pPr>
    </w:p>
    <w:p>
      <w:pPr>
        <w:spacing w:before="60" w:after="100"/>
      </w:pPr>
      <w:r>
        <w:rPr>
          <w:rFonts w:ascii="Arial" w:cs="Arial" w:eastAsia="Arial" w:hAnsi="Arial"/>
          <w:b w:val="false"/>
          <w:bCs w:val="false"/>
          <w:i w:val="false"/>
          <w:iCs w:val="false"/>
          <w:color w:val="1F2937"/>
          <w:sz w:val="20"/>
          <w:szCs w:val="20"/>
        </w:rPr>
        <w:t xml:space="preserve">Neptune implements a layered beta estimation framework, progressing from classical methods to institutional best practices. The methodology is transparent, auditable, and reproducible — every estimate can be traced to its source data and calculation parameters.</w:t>
      </w:r>
    </w:p>
    <w:p>
      <w:pPr>
        <w:spacing w:before="100" w:after="60"/>
      </w:pPr>
    </w:p>
    <w:p>
      <w:pPr>
        <w:pStyle w:val="Heading2"/>
        <w:spacing w:before="200" w:after="100"/>
      </w:pPr>
      <w:r>
        <w:rPr>
          <w:rFonts w:ascii="Arial" w:cs="Arial" w:eastAsia="Arial" w:hAnsi="Arial"/>
          <w:b/>
          <w:bCs/>
          <w:color w:val="1A56A0"/>
          <w:sz w:val="26"/>
          <w:szCs w:val="26"/>
        </w:rPr>
        <w:t xml:space="preserve">Estimation Layers</w:t>
      </w:r>
    </w:p>
    <w:p>
      <w:pPr>
        <w:spacing w:before="40" w:after="40"/>
      </w:pPr>
    </w:p>
    <w:p>
      <w:pPr>
        <w:spacing w:before="160" w:after="80"/>
      </w:pPr>
      <w:r>
        <w:rPr>
          <w:rFonts w:ascii="Arial" w:cs="Arial" w:eastAsia="Arial" w:hAnsi="Arial"/>
          <w:b/>
          <w:bCs/>
          <w:color w:val="1F2937"/>
          <w:sz w:val="22"/>
          <w:szCs w:val="22"/>
        </w:rPr>
        <w:t xml:space="preserve">Layer A — EWMA Rolling Beta (Primary)</w:t>
      </w:r>
    </w:p>
    <w:p>
      <w:pPr>
        <w:spacing w:before="60" w:after="100"/>
      </w:pPr>
      <w:r>
        <w:rPr>
          <w:rFonts w:ascii="Arial" w:cs="Arial" w:eastAsia="Arial" w:hAnsi="Arial"/>
          <w:b w:val="false"/>
          <w:bCs w:val="false"/>
          <w:i w:val="false"/>
          <w:iCs w:val="false"/>
          <w:color w:val="1F2937"/>
          <w:sz w:val="20"/>
          <w:szCs w:val="20"/>
        </w:rPr>
        <w:t xml:space="preserve">Exponentially Weighted Moving Average regression on daily returns against a benchmark index (SPX). Lambda parameter set at 0.94, consistent with J.P. Morgan RiskMetrics convention. A 252-trading-day window is maintained, with recent observations receiving exponentially higher weight. This produces a beta estimate that responds quickly to regime changes — critical for activist positions where the stock's behavior often shifts materially after a position is disclosed.</w:t>
      </w:r>
    </w:p>
    <w:p>
      <w:pPr>
        <w:spacing w:before="60" w:after="60"/>
      </w:pPr>
    </w:p>
    <w:p>
      <w:pPr>
        <w:spacing w:before="160" w:after="80"/>
      </w:pPr>
      <w:r>
        <w:rPr>
          <w:rFonts w:ascii="Arial" w:cs="Arial" w:eastAsia="Arial" w:hAnsi="Arial"/>
          <w:b/>
          <w:bCs/>
          <w:color w:val="1F2937"/>
          <w:sz w:val="22"/>
          <w:szCs w:val="22"/>
        </w:rPr>
        <w:t xml:space="preserve">Layer B — Vasicek Shrinkage (Correction Layer)</w:t>
      </w:r>
    </w:p>
    <w:p>
      <w:pPr>
        <w:spacing w:before="60" w:after="100"/>
      </w:pPr>
      <w:r>
        <w:rPr>
          <w:rFonts w:ascii="Arial" w:cs="Arial" w:eastAsia="Arial" w:hAnsi="Arial"/>
          <w:b w:val="false"/>
          <w:bCs w:val="false"/>
          <w:i w:val="false"/>
          <w:iCs w:val="false"/>
          <w:color w:val="1F2937"/>
          <w:sz w:val="20"/>
          <w:szCs w:val="20"/>
        </w:rPr>
        <w:t xml:space="preserve">Raw OLS and EWMA betas are noisy estimates, particularly for positions with short history or volatile returns. Vasicek shrinkage pulls extreme estimates toward the cross-sectional mean (typically 1.0) in proportion to the estimation uncertainty. High-confidence estimates receive minimal shrinkage; noisy estimates are pulled substantially toward the prior. Neptune implements the full Bayesian form rather than Bloomberg's simplified two-thirds approximation.</w:t>
      </w:r>
    </w:p>
    <w:p>
      <w:pPr>
        <w:spacing w:before="60" w:after="60"/>
      </w:pPr>
    </w:p>
    <w:p>
      <w:pPr>
        <w:spacing w:before="160" w:after="80"/>
      </w:pPr>
      <w:r>
        <w:rPr>
          <w:rFonts w:ascii="Arial" w:cs="Arial" w:eastAsia="Arial" w:hAnsi="Arial"/>
          <w:b/>
          <w:bCs/>
          <w:color w:val="1F2937"/>
          <w:sz w:val="22"/>
          <w:szCs w:val="22"/>
        </w:rPr>
        <w:t xml:space="preserve">Layer C — Dimson Adjustment (Illiquidity Correction)</w:t>
      </w:r>
    </w:p>
    <w:p>
      <w:pPr>
        <w:spacing w:before="60" w:after="100"/>
      </w:pPr>
      <w:r>
        <w:rPr>
          <w:rFonts w:ascii="Arial" w:cs="Arial" w:eastAsia="Arial" w:hAnsi="Arial"/>
          <w:b w:val="false"/>
          <w:bCs w:val="false"/>
          <w:i w:val="false"/>
          <w:iCs w:val="false"/>
          <w:color w:val="1F2937"/>
          <w:sz w:val="20"/>
          <w:szCs w:val="20"/>
        </w:rPr>
        <w:t xml:space="preserve">Activist targets are frequently small-to-mid cap names with limited daily liquidity. Illiquid stocks exhibit stale pricing, causing their observed daily returns to lag the market — OLS beta systematically understates their true market sensitivity. The Dimson method includes lagged and leading market returns in the regression, with total beta equal to the sum of all lag coefficients. This correction is applied selectively based on a liquidity screen: average daily volume relative to position size.</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EA5C8" w:val="clear"/>
          </w:tcPr>
          <w:p/>
        </w:tc>
        <w:tc>
          <w:tcPr>
            <w:tcW w:type="dxa" w:w="9080"/>
            <w:tcBorders>
              <w:top w:val="none" w:color="FFFFFF" w:sz="0"/>
              <w:left w:val="none" w:color="FFFFFF" w:sz="0"/>
              <w:bottom w:val="none" w:color="FFFFFF" w:sz="0"/>
              <w:right w:val="none" w:color="FFFFFF" w:sz="0"/>
            </w:tcBorders>
            <w:shd w:fill="E0F2FE" w:val="clear"/>
            <w:tcMar>
              <w:top w:type="dxa" w:w="120"/>
              <w:left w:type="dxa" w:w="200"/>
              <w:bottom w:type="dxa" w:w="120"/>
              <w:right w:type="dxa" w:w="120"/>
            </w:tcMar>
          </w:tcPr>
          <w:p>
            <w:pPr>
              <w:spacing w:before="0" w:after="40"/>
            </w:pPr>
            <w:r>
              <w:rPr>
                <w:rFonts w:ascii="Arial" w:cs="Arial" w:eastAsia="Arial" w:hAnsi="Arial"/>
                <w:b/>
                <w:bCs/>
                <w:color w:val="1A56A0"/>
                <w:sz w:val="18"/>
                <w:szCs w:val="18"/>
              </w:rPr>
              <w:t xml:space="preserve">Forward Beta for Activist Positions</w:t>
            </w:r>
          </w:p>
          <w:p>
            <w:pPr>
              <w:spacing w:before="0" w:after="0"/>
            </w:pPr>
            <w:r>
              <w:rPr>
                <w:rFonts w:ascii="Arial" w:cs="Arial" w:eastAsia="Arial" w:hAnsi="Arial"/>
                <w:color w:val="1F2937"/>
                <w:sz w:val="18"/>
                <w:szCs w:val="18"/>
              </w:rPr>
              <w:t xml:space="preserve">Activist long positions often have artificially depressed historical betas because the stock was range-bound or suppressed before catalyst disclosure. Neptune maintains a user-overridable forward beta field for each position, allowing the PM to input an assumed post-catalyst beta that better reflects expected market sensitivity going forward.</w:t>
            </w:r>
          </w:p>
        </w:tc>
      </w:tr>
    </w:tbl>
    <w:p>
      <w:pPr>
        <w:spacing w:before="120" w:after="60"/>
      </w:pPr>
    </w:p>
    <w:p>
      <w:pPr>
        <w:pStyle w:val="Heading2"/>
        <w:spacing w:before="200" w:after="100"/>
      </w:pPr>
      <w:r>
        <w:rPr>
          <w:rFonts w:ascii="Arial" w:cs="Arial" w:eastAsia="Arial" w:hAnsi="Arial"/>
          <w:b/>
          <w:bCs/>
          <w:color w:val="1A56A0"/>
          <w:sz w:val="26"/>
          <w:szCs w:val="26"/>
        </w:rPr>
        <w:t xml:space="preserve">Benchmark Configuration</w:t>
      </w:r>
    </w:p>
    <w:p>
      <w:pPr>
        <w:spacing w:before="60" w:after="100"/>
      </w:pPr>
      <w:r>
        <w:rPr>
          <w:rFonts w:ascii="Arial" w:cs="Arial" w:eastAsia="Arial" w:hAnsi="Arial"/>
          <w:b w:val="false"/>
          <w:bCs w:val="false"/>
          <w:i w:val="false"/>
          <w:iCs w:val="false"/>
          <w:color w:val="1F2937"/>
          <w:sz w:val="20"/>
          <w:szCs w:val="20"/>
        </w:rPr>
        <w:t xml:space="preserve">Neptune supports configurable benchmark indices by position, with the following defaults:</w:t>
      </w:r>
    </w:p>
    <w:p>
      <w:pPr>
        <w:spacing w:before="40" w:after="40"/>
      </w:pPr>
    </w:p>
    <w:p>
      <w:pPr>
        <w:pStyle w:val="ListParagraph"/>
        <w:numPr>
          <w:ilvl w:val="0"/>
          <w:numId w:val="2"/>
        </w:numPr>
        <w:spacing w:before="40" w:after="40"/>
      </w:pPr>
      <w:r>
        <w:rPr>
          <w:rFonts w:ascii="Arial" w:cs="Arial" w:eastAsia="Arial" w:hAnsi="Arial"/>
          <w:color w:val="1F2937"/>
          <w:sz w:val="20"/>
          <w:szCs w:val="20"/>
        </w:rPr>
        <w:t xml:space="preserve">Large cap positions: SPX (S&amp;P 500)</w:t>
      </w:r>
    </w:p>
    <w:p>
      <w:pPr>
        <w:pStyle w:val="ListParagraph"/>
        <w:numPr>
          <w:ilvl w:val="0"/>
          <w:numId w:val="2"/>
        </w:numPr>
        <w:spacing w:before="40" w:after="40"/>
      </w:pPr>
      <w:r>
        <w:rPr>
          <w:rFonts w:ascii="Arial" w:cs="Arial" w:eastAsia="Arial" w:hAnsi="Arial"/>
          <w:color w:val="1F2937"/>
          <w:sz w:val="20"/>
          <w:szCs w:val="20"/>
        </w:rPr>
        <w:t xml:space="preserve">Small / mid cap positions: Russell 2000 (IWM)</w:t>
      </w:r>
    </w:p>
    <w:p>
      <w:pPr>
        <w:pStyle w:val="ListParagraph"/>
        <w:numPr>
          <w:ilvl w:val="0"/>
          <w:numId w:val="2"/>
        </w:numPr>
        <w:spacing w:before="40" w:after="40"/>
      </w:pPr>
      <w:r>
        <w:rPr>
          <w:rFonts w:ascii="Arial" w:cs="Arial" w:eastAsia="Arial" w:hAnsi="Arial"/>
          <w:color w:val="1F2937"/>
          <w:sz w:val="20"/>
          <w:szCs w:val="20"/>
        </w:rPr>
        <w:t xml:space="preserve">Sector-concentrated books: Relevant sector index as secondary benchmark</w:t>
      </w:r>
    </w:p>
    <w:p>
      <w:pPr>
        <w:pStyle w:val="ListParagraph"/>
        <w:numPr>
          <w:ilvl w:val="0"/>
          <w:numId w:val="2"/>
        </w:numPr>
        <w:spacing w:before="40" w:after="40"/>
      </w:pPr>
      <w:r>
        <w:rPr>
          <w:rFonts w:ascii="Arial" w:cs="Arial" w:eastAsia="Arial" w:hAnsi="Arial"/>
          <w:color w:val="1F2937"/>
          <w:sz w:val="20"/>
          <w:szCs w:val="20"/>
        </w:rPr>
        <w:t xml:space="preserve">International positions: MSCI ACWI or regional indices as applicable</w:t>
      </w:r>
    </w:p>
    <w:p>
      <w:pPr>
        <w:spacing w:before="120" w:after="60"/>
      </w:pPr>
    </w:p>
    <w:p>
      <w:pPr>
        <w:pStyle w:val="Heading2"/>
        <w:spacing w:before="200" w:after="100"/>
      </w:pPr>
      <w:r>
        <w:rPr>
          <w:rFonts w:ascii="Arial" w:cs="Arial" w:eastAsia="Arial" w:hAnsi="Arial"/>
          <w:b/>
          <w:bCs/>
          <w:color w:val="1A56A0"/>
          <w:sz w:val="26"/>
          <w:szCs w:val="26"/>
        </w:rPr>
        <w:t xml:space="preserve">Beta Refresh Schedule</w:t>
      </w:r>
    </w:p>
    <w:p>
      <w:pPr>
        <w:spacing w:before="60" w:after="100"/>
      </w:pPr>
      <w:r>
        <w:rPr>
          <w:rFonts w:ascii="Arial" w:cs="Arial" w:eastAsia="Arial" w:hAnsi="Arial"/>
          <w:b w:val="false"/>
          <w:bCs w:val="false"/>
          <w:i w:val="false"/>
          <w:iCs w:val="false"/>
          <w:color w:val="1F2937"/>
          <w:sz w:val="20"/>
          <w:szCs w:val="20"/>
        </w:rPr>
        <w:t xml:space="preserve">Betas are recalculated at end-of-day using closing price data. Intraday beta estimates are approximated using the most recent EWMA update. A full regression refresh occurs weekly to catch structural changes in factor loadings. Manual override capability is available at any time for positions with known catalyst events.</w:t>
      </w:r>
    </w:p>
    <w:p>
      <w:pPr>
        <w:spacing w:before="120" w:after="60"/>
      </w:pPr>
    </w:p>
    <w:p>
      <w:r>
        <w:br w:type="page"/>
      </w:r>
    </w:p>
    <w:p>
      <w:pPr>
        <w:spacing w:before="320" w:after="80"/>
      </w:pPr>
      <w:r>
        <w:rPr>
          <w:rFonts w:ascii="Arial" w:cs="Arial" w:eastAsia="Arial" w:hAnsi="Arial"/>
          <w:b/>
          <w:bCs/>
          <w:color w:val="0EA5C8"/>
          <w:spacing w:val="80"/>
          <w:sz w:val="16"/>
          <w:szCs w:val="16"/>
        </w:rPr>
        <w:t xml:space="preserve">04</w:t>
      </w:r>
    </w:p>
    <w:p>
      <w:pPr>
        <w:pStyle w:val="Heading1"/>
        <w:spacing w:before="60" w:after="160"/>
      </w:pPr>
      <w:r>
        <w:rPr>
          <w:rFonts w:ascii="Arial" w:cs="Arial" w:eastAsia="Arial" w:hAnsi="Arial"/>
          <w:b/>
          <w:bCs/>
          <w:color w:val="0D3B6E"/>
          <w:sz w:val="36"/>
          <w:szCs w:val="36"/>
        </w:rPr>
        <w:t xml:space="preserve">Multi-Factor Risk Model</w:t>
      </w:r>
    </w:p>
    <w:p>
      <w:pPr>
        <w:pBdr>
          <w:bottom w:val="single" w:color="1A56A0" w:sz="8" w:space="1"/>
        </w:pBdr>
        <w:spacing w:before="60" w:after="60"/>
      </w:pPr>
    </w:p>
    <w:p>
      <w:pPr>
        <w:spacing w:before="100" w:after="60"/>
      </w:pPr>
    </w:p>
    <w:p>
      <w:pPr>
        <w:spacing w:before="60" w:after="100"/>
      </w:pPr>
      <w:r>
        <w:rPr>
          <w:rFonts w:ascii="Arial" w:cs="Arial" w:eastAsia="Arial" w:hAnsi="Arial"/>
          <w:b w:val="false"/>
          <w:bCs w:val="false"/>
          <w:i w:val="false"/>
          <w:iCs w:val="false"/>
          <w:color w:val="1F2937"/>
          <w:sz w:val="20"/>
          <w:szCs w:val="20"/>
        </w:rPr>
        <w:t xml:space="preserve">Neptune's factor model decomposes portfolio risk beyond simple market beta, identifying systematic exposures that a single-factor hedge cannot address. This is the intellectual core of the platform — the capability that differentiates Neptune from a basic beta calculator and enables true factor-neutral portfolio construction.</w:t>
      </w:r>
    </w:p>
    <w:p>
      <w:pPr>
        <w:spacing w:before="100" w:after="60"/>
      </w:pPr>
    </w:p>
    <w:p>
      <w:pPr>
        <w:pStyle w:val="Heading2"/>
        <w:spacing w:before="200" w:after="100"/>
      </w:pPr>
      <w:r>
        <w:rPr>
          <w:rFonts w:ascii="Arial" w:cs="Arial" w:eastAsia="Arial" w:hAnsi="Arial"/>
          <w:b/>
          <w:bCs/>
          <w:color w:val="1A56A0"/>
          <w:sz w:val="26"/>
          <w:szCs w:val="26"/>
        </w:rPr>
        <w:t xml:space="preserve">The Five-Factor Framework</w:t>
      </w:r>
    </w:p>
    <w:p>
      <w:pPr>
        <w:spacing w:before="60" w:after="100"/>
      </w:pPr>
      <w:r>
        <w:rPr>
          <w:rFonts w:ascii="Arial" w:cs="Arial" w:eastAsia="Arial" w:hAnsi="Arial"/>
          <w:b w:val="false"/>
          <w:bCs w:val="false"/>
          <w:i w:val="false"/>
          <w:iCs w:val="false"/>
          <w:color w:val="1F2937"/>
          <w:sz w:val="20"/>
          <w:szCs w:val="20"/>
        </w:rPr>
        <w:t xml:space="preserve">Neptune implements a five-factor model drawing on academic foundations (Fama-French, Carhart, Barra) while remaining computationally accessible and interpretable by the investment team. Factor returns are sourced from Ken French's Data Library and supplemented with live ETF return proxies.</w:t>
      </w:r>
    </w:p>
    <w:p>
      <w:pPr>
        <w:spacing w:before="60" w:after="60"/>
      </w:pPr>
    </w:p>
    <w:p>
      <w:pPr>
        <w:spacing w:before="160" w:after="80"/>
      </w:pPr>
      <w:r>
        <w:rPr>
          <w:rFonts w:ascii="Arial" w:cs="Arial" w:eastAsia="Arial" w:hAnsi="Arial"/>
          <w:b/>
          <w:bCs/>
          <w:color w:val="1F2937"/>
          <w:sz w:val="22"/>
          <w:szCs w:val="22"/>
        </w:rPr>
        <w:t xml:space="preserve">Factor 1 — Market (Rm - Rf)</w:t>
      </w:r>
    </w:p>
    <w:p>
      <w:pPr>
        <w:spacing w:before="60" w:after="100"/>
      </w:pPr>
      <w:r>
        <w:rPr>
          <w:rFonts w:ascii="Arial" w:cs="Arial" w:eastAsia="Arial" w:hAnsi="Arial"/>
          <w:b w:val="false"/>
          <w:bCs w:val="false"/>
          <w:i w:val="false"/>
          <w:iCs w:val="false"/>
          <w:color w:val="1F2937"/>
          <w:sz w:val="20"/>
          <w:szCs w:val="20"/>
        </w:rPr>
        <w:t xml:space="preserve">The classic CAPM factor. Excess return of the market portfolio over the risk-free rate. This is the primary hedge target. Net market beta of zero is the central constraint in all optimization runs.</w:t>
      </w:r>
    </w:p>
    <w:p>
      <w:pPr>
        <w:spacing w:before="60" w:after="60"/>
      </w:pPr>
    </w:p>
    <w:p>
      <w:pPr>
        <w:spacing w:before="160" w:after="80"/>
      </w:pPr>
      <w:r>
        <w:rPr>
          <w:rFonts w:ascii="Arial" w:cs="Arial" w:eastAsia="Arial" w:hAnsi="Arial"/>
          <w:b/>
          <w:bCs/>
          <w:color w:val="1F2937"/>
          <w:sz w:val="22"/>
          <w:szCs w:val="22"/>
        </w:rPr>
        <w:t xml:space="preserve">Factor 2 — Size (SMB — Small Minus Big)</w:t>
      </w:r>
    </w:p>
    <w:p>
      <w:pPr>
        <w:spacing w:before="60" w:after="100"/>
      </w:pPr>
      <w:r>
        <w:rPr>
          <w:rFonts w:ascii="Arial" w:cs="Arial" w:eastAsia="Arial" w:hAnsi="Arial"/>
          <w:b w:val="false"/>
          <w:bCs w:val="false"/>
          <w:i w:val="false"/>
          <w:iCs w:val="false"/>
          <w:color w:val="1F2937"/>
          <w:sz w:val="20"/>
          <w:szCs w:val="20"/>
        </w:rPr>
        <w:t xml:space="preserve">Activist targets are disproportionately small and mid cap companies. An activist long book therefore carries structural positive size factor exposure. If left unhedged, the portfolio will underperform in periods when large caps outperform small caps regardless of the fundamental thesis. Neptune identifies and hedges this exposure through IWM or targeted small-cap short positions.</w:t>
      </w:r>
    </w:p>
    <w:p>
      <w:pPr>
        <w:spacing w:before="60" w:after="60"/>
      </w:pPr>
    </w:p>
    <w:p>
      <w:pPr>
        <w:spacing w:before="160" w:after="80"/>
      </w:pPr>
      <w:r>
        <w:rPr>
          <w:rFonts w:ascii="Arial" w:cs="Arial" w:eastAsia="Arial" w:hAnsi="Arial"/>
          <w:b/>
          <w:bCs/>
          <w:color w:val="1F2937"/>
          <w:sz w:val="22"/>
          <w:szCs w:val="22"/>
        </w:rPr>
        <w:t xml:space="preserve">Factor 3 — Value (HML — High Minus Low)</w:t>
      </w:r>
    </w:p>
    <w:p>
      <w:pPr>
        <w:spacing w:before="60" w:after="100"/>
      </w:pPr>
      <w:r>
        <w:rPr>
          <w:rFonts w:ascii="Arial" w:cs="Arial" w:eastAsia="Arial" w:hAnsi="Arial"/>
          <w:b w:val="false"/>
          <w:bCs w:val="false"/>
          <w:i w:val="false"/>
          <w:iCs w:val="false"/>
          <w:color w:val="1F2937"/>
          <w:sz w:val="20"/>
          <w:szCs w:val="20"/>
        </w:rPr>
        <w:t xml:space="preserve">Activist strategies frequently target value-characteristic companies: low price-to-book, suppressed multiples, asset-heavy balance sheets. This creates systematic value factor loading. Neptune monitors HML exposure and offsets it through growth-oriented ETF shorts (e.g., IVW) when the exposure exceeds tolerance.</w:t>
      </w:r>
    </w:p>
    <w:p>
      <w:pPr>
        <w:spacing w:before="60" w:after="60"/>
      </w:pPr>
    </w:p>
    <w:p>
      <w:pPr>
        <w:spacing w:before="160" w:after="80"/>
      </w:pPr>
      <w:r>
        <w:rPr>
          <w:rFonts w:ascii="Arial" w:cs="Arial" w:eastAsia="Arial" w:hAnsi="Arial"/>
          <w:b/>
          <w:bCs/>
          <w:color w:val="1F2937"/>
          <w:sz w:val="22"/>
          <w:szCs w:val="22"/>
        </w:rPr>
        <w:t xml:space="preserve">Factor 4 — Momentum (MOM)</w:t>
      </w:r>
    </w:p>
    <w:p>
      <w:pPr>
        <w:spacing w:before="60" w:after="100"/>
      </w:pPr>
      <w:r>
        <w:rPr>
          <w:rFonts w:ascii="Arial" w:cs="Arial" w:eastAsia="Arial" w:hAnsi="Arial"/>
          <w:b w:val="false"/>
          <w:bCs w:val="false"/>
          <w:i w:val="false"/>
          <w:iCs w:val="false"/>
          <w:color w:val="1F2937"/>
          <w:sz w:val="20"/>
          <w:szCs w:val="20"/>
        </w:rPr>
        <w:t xml:space="preserve">Post-announcement drift — a documented anomaly in event-driven investing — creates momentum factor exposure in the long book. Positions that have already moved on catalyst news carry positive momentum loading that reverses predictably. Neptune tracks momentum exposure and flags elevated readings as a risk indicator distinct from market beta.</w:t>
      </w:r>
    </w:p>
    <w:p>
      <w:pPr>
        <w:spacing w:before="60" w:after="60"/>
      </w:pPr>
    </w:p>
    <w:p>
      <w:pPr>
        <w:spacing w:before="160" w:after="80"/>
      </w:pPr>
      <w:r>
        <w:rPr>
          <w:rFonts w:ascii="Arial" w:cs="Arial" w:eastAsia="Arial" w:hAnsi="Arial"/>
          <w:b/>
          <w:bCs/>
          <w:color w:val="1F2937"/>
          <w:sz w:val="22"/>
          <w:szCs w:val="22"/>
        </w:rPr>
        <w:t xml:space="preserve">Factor 5 — Sector</w:t>
      </w:r>
    </w:p>
    <w:p>
      <w:pPr>
        <w:spacing w:before="60" w:after="100"/>
      </w:pPr>
      <w:r>
        <w:rPr>
          <w:rFonts w:ascii="Arial" w:cs="Arial" w:eastAsia="Arial" w:hAnsi="Arial"/>
          <w:b w:val="false"/>
          <w:bCs w:val="false"/>
          <w:i w:val="false"/>
          <w:iCs w:val="false"/>
          <w:color w:val="1F2937"/>
          <w:sz w:val="20"/>
          <w:szCs w:val="20"/>
        </w:rPr>
        <w:t xml:space="preserve">Activism often concentrates in specific sectors based on market cycle and opportunity. Neptune tracks sector factor exposures using GICS sector indices and offsets concentrated sector risk through sector ETF shorts (XLI, XLK, XLE, XLV, etc.) when individual sector exposure exceeds defined limits.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EA5C8" w:val="clear"/>
          </w:tcPr>
          <w:p/>
        </w:tc>
        <w:tc>
          <w:tcPr>
            <w:tcW w:type="dxa" w:w="9080"/>
            <w:tcBorders>
              <w:top w:val="none" w:color="FFFFFF" w:sz="0"/>
              <w:left w:val="none" w:color="FFFFFF" w:sz="0"/>
              <w:bottom w:val="none" w:color="FFFFFF" w:sz="0"/>
              <w:right w:val="none" w:color="FFFFFF" w:sz="0"/>
            </w:tcBorders>
            <w:shd w:fill="E0F2FE" w:val="clear"/>
            <w:tcMar>
              <w:top w:type="dxa" w:w="120"/>
              <w:left w:type="dxa" w:w="200"/>
              <w:bottom w:type="dxa" w:w="120"/>
              <w:right w:type="dxa" w:w="120"/>
            </w:tcMar>
          </w:tcPr>
          <w:p>
            <w:pPr>
              <w:spacing w:before="0" w:after="40"/>
            </w:pPr>
            <w:r>
              <w:rPr>
                <w:rFonts w:ascii="Arial" w:cs="Arial" w:eastAsia="Arial" w:hAnsi="Arial"/>
                <w:b/>
                <w:bCs/>
                <w:color w:val="1A56A0"/>
                <w:sz w:val="18"/>
                <w:szCs w:val="18"/>
              </w:rPr>
              <w:t xml:space="preserve">Factor Neutrality vs. Factor Management</w:t>
            </w:r>
          </w:p>
          <w:p>
            <w:pPr>
              <w:spacing w:before="0" w:after="0"/>
            </w:pPr>
            <w:r>
              <w:rPr>
                <w:rFonts w:ascii="Arial" w:cs="Arial" w:eastAsia="Arial" w:hAnsi="Arial"/>
                <w:color w:val="1F2937"/>
                <w:sz w:val="18"/>
                <w:szCs w:val="18"/>
              </w:rPr>
              <w:t xml:space="preserve">Neptune does not require all factor exposures to be zero at all times. The system enforces hard limits on each factor and generates alerts when those limits are approached. The PM retains discretion to carry modest factor tilts — the system ensures they are deliberate and monitored rather than accidental and invisible.</w:t>
            </w:r>
          </w:p>
        </w:tc>
      </w:tr>
    </w:tbl>
    <w:p>
      <w:pPr>
        <w:spacing w:before="120" w:after="60"/>
      </w:pPr>
    </w:p>
    <w:p>
      <w:r>
        <w:br w:type="page"/>
      </w:r>
    </w:p>
    <w:p>
      <w:pPr>
        <w:spacing w:before="320" w:after="80"/>
      </w:pPr>
      <w:r>
        <w:rPr>
          <w:rFonts w:ascii="Arial" w:cs="Arial" w:eastAsia="Arial" w:hAnsi="Arial"/>
          <w:b/>
          <w:bCs/>
          <w:color w:val="0EA5C8"/>
          <w:spacing w:val="80"/>
          <w:sz w:val="16"/>
          <w:szCs w:val="16"/>
        </w:rPr>
        <w:t xml:space="preserve">05</w:t>
      </w:r>
    </w:p>
    <w:p>
      <w:pPr>
        <w:pStyle w:val="Heading1"/>
        <w:spacing w:before="60" w:after="160"/>
      </w:pPr>
      <w:r>
        <w:rPr>
          <w:rFonts w:ascii="Arial" w:cs="Arial" w:eastAsia="Arial" w:hAnsi="Arial"/>
          <w:b/>
          <w:bCs/>
          <w:color w:val="0D3B6E"/>
          <w:sz w:val="36"/>
          <w:szCs w:val="36"/>
        </w:rPr>
        <w:t xml:space="preserve">Short Book Optimizer</w:t>
      </w:r>
    </w:p>
    <w:p>
      <w:pPr>
        <w:pBdr>
          <w:bottom w:val="single" w:color="1A56A0" w:sz="8" w:space="1"/>
        </w:pBdr>
        <w:spacing w:before="60" w:after="60"/>
      </w:pPr>
    </w:p>
    <w:p>
      <w:pPr>
        <w:spacing w:before="100" w:after="60"/>
      </w:pPr>
    </w:p>
    <w:p>
      <w:pPr>
        <w:spacing w:before="60" w:after="100"/>
      </w:pPr>
      <w:r>
        <w:rPr>
          <w:rFonts w:ascii="Arial" w:cs="Arial" w:eastAsia="Arial" w:hAnsi="Arial"/>
          <w:b w:val="false"/>
          <w:bCs w:val="false"/>
          <w:i w:val="false"/>
          <w:iCs w:val="false"/>
          <w:color w:val="1F2937"/>
          <w:sz w:val="20"/>
          <w:szCs w:val="20"/>
        </w:rPr>
        <w:t xml:space="preserve">The short book optimizer is Neptune's most distinctive capability. Rather than requiring the PM to decide what to short, the system constructs a mathematically optimal hedge basket automatically — solving for factor neutrality while respecting liquidity, concentration, and cost constraints.</w:t>
      </w:r>
    </w:p>
    <w:p>
      <w:pPr>
        <w:spacing w:before="100" w:after="60"/>
      </w:pPr>
    </w:p>
    <w:p>
      <w:pPr>
        <w:pStyle w:val="Heading2"/>
        <w:spacing w:before="200" w:after="100"/>
      </w:pPr>
      <w:r>
        <w:rPr>
          <w:rFonts w:ascii="Arial" w:cs="Arial" w:eastAsia="Arial" w:hAnsi="Arial"/>
          <w:b/>
          <w:bCs/>
          <w:color w:val="1A56A0"/>
          <w:sz w:val="26"/>
          <w:szCs w:val="26"/>
        </w:rPr>
        <w:t xml:space="preserve">Optimization Framework</w:t>
      </w:r>
    </w:p>
    <w:p>
      <w:pPr>
        <w:spacing w:before="60" w:after="100"/>
      </w:pPr>
      <w:r>
        <w:rPr>
          <w:rFonts w:ascii="Arial" w:cs="Arial" w:eastAsia="Arial" w:hAnsi="Arial"/>
          <w:b w:val="false"/>
          <w:bCs w:val="false"/>
          <w:i w:val="false"/>
          <w:iCs w:val="false"/>
          <w:color w:val="1F2937"/>
          <w:sz w:val="20"/>
          <w:szCs w:val="20"/>
        </w:rPr>
        <w:t xml:space="preserve">Neptune solves a quadratic programming problem at each rebalance trigger. The objective function minimizes the tracking error between the hedge portfolio and the factor exposures of the long book. Constraints enforce factor limits, position bounds, and dollar neutrality targets.</w:t>
      </w:r>
    </w:p>
    <w:p>
      <w:pPr>
        <w:spacing w:before="60" w:after="60"/>
      </w:pPr>
    </w:p>
    <w:p>
      <w:pPr>
        <w:spacing w:before="160" w:after="80"/>
      </w:pPr>
      <w:r>
        <w:rPr>
          <w:rFonts w:ascii="Arial" w:cs="Arial" w:eastAsia="Arial" w:hAnsi="Arial"/>
          <w:b/>
          <w:bCs/>
          <w:color w:val="1F2937"/>
          <w:sz w:val="22"/>
          <w:szCs w:val="22"/>
        </w:rPr>
        <w:t xml:space="preserve">Objective Function</w:t>
      </w:r>
    </w:p>
    <w:p>
      <w:pPr>
        <w:spacing w:before="60" w:after="100"/>
      </w:pPr>
      <w:r>
        <w:rPr>
          <w:rFonts w:ascii="Arial" w:cs="Arial" w:eastAsia="Arial" w:hAnsi="Arial"/>
          <w:b w:val="false"/>
          <w:bCs w:val="false"/>
          <w:i w:val="false"/>
          <w:iCs w:val="false"/>
          <w:color w:val="1F2937"/>
          <w:sz w:val="20"/>
          <w:szCs w:val="20"/>
        </w:rPr>
        <w:t xml:space="preserve">Minimize: Tracking error of (long book factor exposures + short book factor exposures)</w:t>
      </w:r>
    </w:p>
    <w:p>
      <w:pPr>
        <w:spacing w:before="60" w:after="100"/>
      </w:pPr>
      <w:r>
        <w:rPr>
          <w:rFonts w:ascii="Arial" w:cs="Arial" w:eastAsia="Arial" w:hAnsi="Arial"/>
          <w:b w:val="false"/>
          <w:bCs w:val="false"/>
          <w:i w:val="false"/>
          <w:iCs w:val="false"/>
          <w:color w:val="1F2937"/>
          <w:sz w:val="20"/>
          <w:szCs w:val="20"/>
        </w:rPr>
        <w:t xml:space="preserve">Equivalently: minimize ||B_long·w_long + B_short·w_short||² where B is the factor loading matrix and w is the vector of portfolio weights.</w:t>
      </w:r>
    </w:p>
    <w:p>
      <w:pPr>
        <w:spacing w:before="60" w:after="60"/>
      </w:pPr>
    </w:p>
    <w:p>
      <w:pPr>
        <w:spacing w:before="160" w:after="80"/>
      </w:pPr>
      <w:r>
        <w:rPr>
          <w:rFonts w:ascii="Arial" w:cs="Arial" w:eastAsia="Arial" w:hAnsi="Arial"/>
          <w:b/>
          <w:bCs/>
          <w:color w:val="1F2937"/>
          <w:sz w:val="22"/>
          <w:szCs w:val="22"/>
        </w:rPr>
        <w:t xml:space="preserve">Constraints</w:t>
      </w:r>
    </w:p>
    <w:p>
      <w:pPr>
        <w:pStyle w:val="ListParagraph"/>
        <w:numPr>
          <w:ilvl w:val="0"/>
          <w:numId w:val="2"/>
        </w:numPr>
        <w:spacing w:before="40" w:after="40"/>
      </w:pPr>
      <w:r>
        <w:rPr>
          <w:rFonts w:ascii="Arial" w:cs="Arial" w:eastAsia="Arial" w:hAnsi="Arial"/>
          <w:color w:val="1F2937"/>
          <w:sz w:val="20"/>
          <w:szCs w:val="20"/>
        </w:rPr>
        <w:t xml:space="preserve">Net market beta: |β_net| ≤ 0.050 (hard constraint, always enforced)</w:t>
      </w:r>
    </w:p>
    <w:p>
      <w:pPr>
        <w:pStyle w:val="ListParagraph"/>
        <w:numPr>
          <w:ilvl w:val="0"/>
          <w:numId w:val="2"/>
        </w:numPr>
        <w:spacing w:before="40" w:after="40"/>
      </w:pPr>
      <w:r>
        <w:rPr>
          <w:rFonts w:ascii="Arial" w:cs="Arial" w:eastAsia="Arial" w:hAnsi="Arial"/>
          <w:color w:val="1F2937"/>
          <w:sz w:val="20"/>
          <w:szCs w:val="20"/>
        </w:rPr>
        <w:t xml:space="preserve">Individual factor exposures: |f_k_net| ≤ limit_k for each factor k</w:t>
      </w:r>
    </w:p>
    <w:p>
      <w:pPr>
        <w:pStyle w:val="ListParagraph"/>
        <w:numPr>
          <w:ilvl w:val="0"/>
          <w:numId w:val="2"/>
        </w:numPr>
        <w:spacing w:before="40" w:after="40"/>
      </w:pPr>
      <w:r>
        <w:rPr>
          <w:rFonts w:ascii="Arial" w:cs="Arial" w:eastAsia="Arial" w:hAnsi="Arial"/>
          <w:color w:val="1F2937"/>
          <w:sz w:val="20"/>
          <w:szCs w:val="20"/>
        </w:rPr>
        <w:t xml:space="preserve">Individual position size: no single short instrument &gt; 15% of short book</w:t>
      </w:r>
    </w:p>
    <w:p>
      <w:pPr>
        <w:pStyle w:val="ListParagraph"/>
        <w:numPr>
          <w:ilvl w:val="0"/>
          <w:numId w:val="2"/>
        </w:numPr>
        <w:spacing w:before="40" w:after="40"/>
      </w:pPr>
      <w:r>
        <w:rPr>
          <w:rFonts w:ascii="Arial" w:cs="Arial" w:eastAsia="Arial" w:hAnsi="Arial"/>
          <w:color w:val="1F2937"/>
          <w:sz w:val="20"/>
          <w:szCs w:val="20"/>
        </w:rPr>
        <w:t xml:space="preserve">Minimum position size: no short instrument &lt; 2% of short book (avoid hairline positions)</w:t>
      </w:r>
    </w:p>
    <w:p>
      <w:pPr>
        <w:pStyle w:val="ListParagraph"/>
        <w:numPr>
          <w:ilvl w:val="0"/>
          <w:numId w:val="2"/>
        </w:numPr>
        <w:spacing w:before="40" w:after="40"/>
      </w:pPr>
      <w:r>
        <w:rPr>
          <w:rFonts w:ascii="Arial" w:cs="Arial" w:eastAsia="Arial" w:hAnsi="Arial"/>
          <w:color w:val="1F2937"/>
          <w:sz w:val="20"/>
          <w:szCs w:val="20"/>
        </w:rPr>
        <w:t xml:space="preserve">Dollar neutrality: short notional within defined range of long notional (configurable)</w:t>
      </w:r>
    </w:p>
    <w:p>
      <w:pPr>
        <w:pStyle w:val="ListParagraph"/>
        <w:numPr>
          <w:ilvl w:val="0"/>
          <w:numId w:val="2"/>
        </w:numPr>
        <w:spacing w:before="40" w:after="40"/>
      </w:pPr>
      <w:r>
        <w:rPr>
          <w:rFonts w:ascii="Arial" w:cs="Arial" w:eastAsia="Arial" w:hAnsi="Arial"/>
          <w:color w:val="1F2937"/>
          <w:sz w:val="20"/>
          <w:szCs w:val="20"/>
        </w:rPr>
        <w:t xml:space="preserve">Liquidity screen: instrument average daily volume must exceed 5× position size</w:t>
      </w:r>
    </w:p>
    <w:p>
      <w:pPr>
        <w:pStyle w:val="ListParagraph"/>
        <w:numPr>
          <w:ilvl w:val="0"/>
          <w:numId w:val="2"/>
        </w:numPr>
        <w:spacing w:before="40" w:after="40"/>
      </w:pPr>
      <w:r>
        <w:rPr>
          <w:rFonts w:ascii="Arial" w:cs="Arial" w:eastAsia="Arial" w:hAnsi="Arial"/>
          <w:color w:val="1F2937"/>
          <w:sz w:val="20"/>
          <w:szCs w:val="20"/>
        </w:rPr>
        <w:t xml:space="preserve">Borrow availability: instrument must be confirmed borrowable at ≤ 50bps annualized cost</w:t>
      </w:r>
    </w:p>
    <w:p>
      <w:pPr>
        <w:spacing w:before="80" w:after="60"/>
      </w:pPr>
    </w:p>
    <w:p>
      <w:pPr>
        <w:pStyle w:val="Heading2"/>
        <w:spacing w:before="200" w:after="100"/>
      </w:pPr>
      <w:r>
        <w:rPr>
          <w:rFonts w:ascii="Arial" w:cs="Arial" w:eastAsia="Arial" w:hAnsi="Arial"/>
          <w:b/>
          <w:bCs/>
          <w:color w:val="1A56A0"/>
          <w:sz w:val="26"/>
          <w:szCs w:val="26"/>
        </w:rPr>
        <w:t xml:space="preserve">Instrument Universe</w:t>
      </w:r>
    </w:p>
    <w:p>
      <w:pPr>
        <w:spacing w:before="60" w:after="100"/>
      </w:pPr>
      <w:r>
        <w:rPr>
          <w:rFonts w:ascii="Arial" w:cs="Arial" w:eastAsia="Arial" w:hAnsi="Arial"/>
          <w:b w:val="false"/>
          <w:bCs w:val="false"/>
          <w:i w:val="false"/>
          <w:iCs w:val="false"/>
          <w:color w:val="1F2937"/>
          <w:sz w:val="20"/>
          <w:szCs w:val="20"/>
        </w:rPr>
        <w:t xml:space="preserve">The optimizer selects from the following universe of liquid, shortable instruments:</w:t>
      </w:r>
    </w:p>
    <w:p>
      <w:pPr>
        <w:spacing w:before="40" w:after="40"/>
      </w:pPr>
    </w:p>
    <w:p>
      <w:pPr>
        <w:pStyle w:val="ListParagraph"/>
        <w:numPr>
          <w:ilvl w:val="0"/>
          <w:numId w:val="2"/>
        </w:numPr>
        <w:spacing w:before="40" w:after="40"/>
      </w:pPr>
      <w:r>
        <w:rPr>
          <w:rFonts w:ascii="Arial" w:cs="Arial" w:eastAsia="Arial" w:hAnsi="Arial"/>
          <w:color w:val="1F2937"/>
          <w:sz w:val="20"/>
          <w:szCs w:val="20"/>
        </w:rPr>
        <w:t xml:space="preserve">Market factor: SPY, IVV, VOO (S&amp;P 500 ETFs)</w:t>
      </w:r>
    </w:p>
    <w:p>
      <w:pPr>
        <w:pStyle w:val="ListParagraph"/>
        <w:numPr>
          <w:ilvl w:val="0"/>
          <w:numId w:val="2"/>
        </w:numPr>
        <w:spacing w:before="40" w:after="40"/>
      </w:pPr>
      <w:r>
        <w:rPr>
          <w:rFonts w:ascii="Arial" w:cs="Arial" w:eastAsia="Arial" w:hAnsi="Arial"/>
          <w:color w:val="1F2937"/>
          <w:sz w:val="20"/>
          <w:szCs w:val="20"/>
        </w:rPr>
        <w:t xml:space="preserve">Size factor: IWM (Russell 2000), IJH (S&amp;P 400 Mid Cap)</w:t>
      </w:r>
    </w:p>
    <w:p>
      <w:pPr>
        <w:pStyle w:val="ListParagraph"/>
        <w:numPr>
          <w:ilvl w:val="0"/>
          <w:numId w:val="2"/>
        </w:numPr>
        <w:spacing w:before="40" w:after="40"/>
      </w:pPr>
      <w:r>
        <w:rPr>
          <w:rFonts w:ascii="Arial" w:cs="Arial" w:eastAsia="Arial" w:hAnsi="Arial"/>
          <w:color w:val="1F2937"/>
          <w:sz w:val="20"/>
          <w:szCs w:val="20"/>
        </w:rPr>
        <w:t xml:space="preserve">Value factor: IVE, VTV (S&amp;P 500 Value ETFs)</w:t>
      </w:r>
    </w:p>
    <w:p>
      <w:pPr>
        <w:pStyle w:val="ListParagraph"/>
        <w:numPr>
          <w:ilvl w:val="0"/>
          <w:numId w:val="2"/>
        </w:numPr>
        <w:spacing w:before="40" w:after="40"/>
      </w:pPr>
      <w:r>
        <w:rPr>
          <w:rFonts w:ascii="Arial" w:cs="Arial" w:eastAsia="Arial" w:hAnsi="Arial"/>
          <w:color w:val="1F2937"/>
          <w:sz w:val="20"/>
          <w:szCs w:val="20"/>
        </w:rPr>
        <w:t xml:space="preserve">Growth / anti-value: IVW, VUG (for negative value exposure)</w:t>
      </w:r>
    </w:p>
    <w:p>
      <w:pPr>
        <w:pStyle w:val="ListParagraph"/>
        <w:numPr>
          <w:ilvl w:val="0"/>
          <w:numId w:val="2"/>
        </w:numPr>
        <w:spacing w:before="40" w:after="40"/>
      </w:pPr>
      <w:r>
        <w:rPr>
          <w:rFonts w:ascii="Arial" w:cs="Arial" w:eastAsia="Arial" w:hAnsi="Arial"/>
          <w:color w:val="1F2937"/>
          <w:sz w:val="20"/>
          <w:szCs w:val="20"/>
        </w:rPr>
        <w:t xml:space="preserve">Momentum: MTUM (iShares MSCI Momentum ETF)</w:t>
      </w:r>
    </w:p>
    <w:p>
      <w:pPr>
        <w:pStyle w:val="ListParagraph"/>
        <w:numPr>
          <w:ilvl w:val="0"/>
          <w:numId w:val="2"/>
        </w:numPr>
        <w:spacing w:before="40" w:after="40"/>
      </w:pPr>
      <w:r>
        <w:rPr>
          <w:rFonts w:ascii="Arial" w:cs="Arial" w:eastAsia="Arial" w:hAnsi="Arial"/>
          <w:color w:val="1F2937"/>
          <w:sz w:val="20"/>
          <w:szCs w:val="20"/>
        </w:rPr>
        <w:t xml:space="preserve">Sector: XLK, XLF, XLV, XLI, XLE, XLB, XLY, XLP, XLU, XLRE</w:t>
      </w:r>
    </w:p>
    <w:p>
      <w:pPr>
        <w:pStyle w:val="ListParagraph"/>
        <w:numPr>
          <w:ilvl w:val="0"/>
          <w:numId w:val="2"/>
        </w:numPr>
        <w:spacing w:before="40" w:after="40"/>
      </w:pPr>
      <w:r>
        <w:rPr>
          <w:rFonts w:ascii="Arial" w:cs="Arial" w:eastAsia="Arial" w:hAnsi="Arial"/>
          <w:color w:val="1F2937"/>
          <w:sz w:val="20"/>
          <w:szCs w:val="20"/>
        </w:rPr>
        <w:t xml:space="preserve">Individual names: added to universe selectively by PM for idiosyncratic hedges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EA5C8" w:val="clear"/>
          </w:tcPr>
          <w:p/>
        </w:tc>
        <w:tc>
          <w:tcPr>
            <w:tcW w:type="dxa" w:w="9080"/>
            <w:tcBorders>
              <w:top w:val="none" w:color="FFFFFF" w:sz="0"/>
              <w:left w:val="none" w:color="FFFFFF" w:sz="0"/>
              <w:bottom w:val="none" w:color="FFFFFF" w:sz="0"/>
              <w:right w:val="none" w:color="FFFFFF" w:sz="0"/>
            </w:tcBorders>
            <w:shd w:fill="E0F2FE" w:val="clear"/>
            <w:tcMar>
              <w:top w:type="dxa" w:w="120"/>
              <w:left w:type="dxa" w:w="200"/>
              <w:bottom w:type="dxa" w:w="120"/>
              <w:right w:type="dxa" w:w="120"/>
            </w:tcMar>
          </w:tcPr>
          <w:p>
            <w:pPr>
              <w:spacing w:before="0" w:after="40"/>
            </w:pPr>
            <w:r>
              <w:rPr>
                <w:rFonts w:ascii="Arial" w:cs="Arial" w:eastAsia="Arial" w:hAnsi="Arial"/>
                <w:b/>
                <w:bCs/>
                <w:color w:val="1A56A0"/>
                <w:sz w:val="18"/>
                <w:szCs w:val="18"/>
              </w:rPr>
              <w:t xml:space="preserve">Automation Philosophy</w:t>
            </w:r>
          </w:p>
          <w:p>
            <w:pPr>
              <w:spacing w:before="0" w:after="0"/>
            </w:pPr>
            <w:r>
              <w:rPr>
                <w:rFonts w:ascii="Arial" w:cs="Arial" w:eastAsia="Arial" w:hAnsi="Arial"/>
                <w:color w:val="1F2937"/>
                <w:sz w:val="18"/>
                <w:szCs w:val="18"/>
              </w:rPr>
              <w:t xml:space="preserve">The optimizer runs automatically at each rebalance trigger and produces a recommended basket. The PM sees the recommendation and approves execution — the system never executes trades autonomously. The human remains in the loop for every trade decision; the math eliminates the need for the human to think about what to trade.</w:t>
            </w:r>
          </w:p>
        </w:tc>
      </w:tr>
    </w:tbl>
    <w:p>
      <w:pPr>
        <w:spacing w:before="120" w:after="60"/>
      </w:pPr>
    </w:p>
    <w:p>
      <w:pPr>
        <w:pStyle w:val="Heading2"/>
        <w:spacing w:before="200" w:after="100"/>
      </w:pPr>
      <w:r>
        <w:rPr>
          <w:rFonts w:ascii="Arial" w:cs="Arial" w:eastAsia="Arial" w:hAnsi="Arial"/>
          <w:b/>
          <w:bCs/>
          <w:color w:val="1A56A0"/>
          <w:sz w:val="26"/>
          <w:szCs w:val="26"/>
        </w:rPr>
        <w:t xml:space="preserve">Rebalancing Logic</w:t>
      </w:r>
    </w:p>
    <w:p>
      <w:pPr>
        <w:spacing w:before="60" w:after="100"/>
      </w:pPr>
      <w:r>
        <w:rPr>
          <w:rFonts w:ascii="Arial" w:cs="Arial" w:eastAsia="Arial" w:hAnsi="Arial"/>
          <w:b w:val="false"/>
          <w:bCs w:val="false"/>
          <w:i w:val="false"/>
          <w:iCs w:val="false"/>
          <w:color w:val="1F2937"/>
          <w:sz w:val="20"/>
          <w:szCs w:val="20"/>
        </w:rPr>
        <w:t xml:space="preserve">Neptune monitors portfolio beta and factor exposures continuously. Rebalancing is triggered by three conditions:</w:t>
      </w:r>
    </w:p>
    <w:p>
      <w:pPr>
        <w:spacing w:before="40" w:after="40"/>
      </w:pPr>
    </w:p>
    <w:p>
      <w:pPr>
        <w:pStyle w:val="ListParagraph"/>
        <w:numPr>
          <w:ilvl w:val="0"/>
          <w:numId w:val="2"/>
        </w:numPr>
        <w:spacing w:before="40" w:after="40"/>
      </w:pPr>
      <w:r>
        <w:rPr>
          <w:rFonts w:ascii="Arial" w:cs="Arial" w:eastAsia="Arial" w:hAnsi="Arial"/>
          <w:b/>
          <w:bCs/>
          <w:color w:val="1A56A0"/>
          <w:sz w:val="20"/>
          <w:szCs w:val="20"/>
        </w:rPr>
        <w:t xml:space="preserve">Drift Alert — </w:t>
      </w:r>
      <w:r>
        <w:rPr>
          <w:rFonts w:ascii="Arial" w:cs="Arial" w:eastAsia="Arial" w:hAnsi="Arial"/>
          <w:color w:val="1F2937"/>
          <w:sz w:val="20"/>
          <w:szCs w:val="20"/>
        </w:rPr>
        <w:t xml:space="preserve">Net portfolio beta breaches ±0.050 from target. Optimizer generates rebalancing recommendation within 15 minutes.</w:t>
      </w:r>
    </w:p>
    <w:p>
      <w:pPr>
        <w:pStyle w:val="ListParagraph"/>
        <w:numPr>
          <w:ilvl w:val="0"/>
          <w:numId w:val="2"/>
        </w:numPr>
        <w:spacing w:before="40" w:after="40"/>
      </w:pPr>
      <w:r>
        <w:rPr>
          <w:rFonts w:ascii="Arial" w:cs="Arial" w:eastAsia="Arial" w:hAnsi="Arial"/>
          <w:b/>
          <w:bCs/>
          <w:color w:val="1A56A0"/>
          <w:sz w:val="20"/>
          <w:szCs w:val="20"/>
        </w:rPr>
        <w:t xml:space="preserve">Factor Breach — </w:t>
      </w:r>
      <w:r>
        <w:rPr>
          <w:rFonts w:ascii="Arial" w:cs="Arial" w:eastAsia="Arial" w:hAnsi="Arial"/>
          <w:color w:val="1F2937"/>
          <w:sz w:val="20"/>
          <w:szCs w:val="20"/>
        </w:rPr>
        <w:t xml:space="preserve">Any individual factor exposure breaches its defined limit. Alert generated with specific factor and recommended corrective trade.</w:t>
      </w:r>
    </w:p>
    <w:p>
      <w:pPr>
        <w:pStyle w:val="ListParagraph"/>
        <w:numPr>
          <w:ilvl w:val="0"/>
          <w:numId w:val="2"/>
        </w:numPr>
        <w:spacing w:before="40" w:after="40"/>
      </w:pPr>
      <w:r>
        <w:rPr>
          <w:rFonts w:ascii="Arial" w:cs="Arial" w:eastAsia="Arial" w:hAnsi="Arial"/>
          <w:b/>
          <w:bCs/>
          <w:color w:val="1A56A0"/>
          <w:sz w:val="20"/>
          <w:szCs w:val="20"/>
        </w:rPr>
        <w:t xml:space="preserve">Scheduled Rebalance — </w:t>
      </w:r>
      <w:r>
        <w:rPr>
          <w:rFonts w:ascii="Arial" w:cs="Arial" w:eastAsia="Arial" w:hAnsi="Arial"/>
          <w:color w:val="1F2937"/>
          <w:sz w:val="20"/>
          <w:szCs w:val="20"/>
        </w:rPr>
        <w:t xml:space="preserve">Full portfolio review runs weekly regardless of drift. Ensures factor model is current and hedge basket remains optimal as betas evolve.</w:t>
      </w:r>
    </w:p>
    <w:p>
      <w:pPr>
        <w:spacing w:before="120" w:after="60"/>
      </w:pPr>
    </w:p>
    <w:p>
      <w:r>
        <w:br w:type="page"/>
      </w:r>
    </w:p>
    <w:p>
      <w:pPr>
        <w:spacing w:before="320" w:after="80"/>
      </w:pPr>
      <w:r>
        <w:rPr>
          <w:rFonts w:ascii="Arial" w:cs="Arial" w:eastAsia="Arial" w:hAnsi="Arial"/>
          <w:b/>
          <w:bCs/>
          <w:color w:val="0EA5C8"/>
          <w:spacing w:val="80"/>
          <w:sz w:val="16"/>
          <w:szCs w:val="16"/>
        </w:rPr>
        <w:t xml:space="preserve">06</w:t>
      </w:r>
    </w:p>
    <w:p>
      <w:pPr>
        <w:pStyle w:val="Heading1"/>
        <w:spacing w:before="60" w:after="160"/>
      </w:pPr>
      <w:r>
        <w:rPr>
          <w:rFonts w:ascii="Arial" w:cs="Arial" w:eastAsia="Arial" w:hAnsi="Arial"/>
          <w:b/>
          <w:bCs/>
          <w:color w:val="0D3B6E"/>
          <w:sz w:val="36"/>
          <w:szCs w:val="36"/>
        </w:rPr>
        <w:t xml:space="preserve">Feature Specification</w:t>
      </w:r>
    </w:p>
    <w:p>
      <w:pPr>
        <w:pBdr>
          <w:bottom w:val="single" w:color="1A56A0" w:sz="8" w:space="1"/>
        </w:pBdr>
        <w:spacing w:before="60" w:after="60"/>
      </w:pPr>
    </w:p>
    <w:p>
      <w:pPr>
        <w:spacing w:before="100" w:after="60"/>
      </w:pPr>
    </w:p>
    <w:p>
      <w:pPr>
        <w:pStyle w:val="Heading2"/>
        <w:spacing w:before="200" w:after="100"/>
      </w:pPr>
      <w:r>
        <w:rPr>
          <w:rFonts w:ascii="Arial" w:cs="Arial" w:eastAsia="Arial" w:hAnsi="Arial"/>
          <w:b/>
          <w:bCs/>
          <w:color w:val="1A56A0"/>
          <w:sz w:val="26"/>
          <w:szCs w:val="26"/>
        </w:rPr>
        <w:t xml:space="preserve">Module 1 — Position Manager</w:t>
      </w:r>
    </w:p>
    <w:p>
      <w:pPr>
        <w:spacing w:before="60" w:after="100"/>
      </w:pPr>
      <w:r>
        <w:rPr>
          <w:rFonts w:ascii="Arial" w:cs="Arial" w:eastAsia="Arial" w:hAnsi="Arial"/>
          <w:b w:val="false"/>
          <w:bCs w:val="false"/>
          <w:i w:val="false"/>
          <w:iCs w:val="false"/>
          <w:color w:val="1F2937"/>
          <w:sz w:val="20"/>
          <w:szCs w:val="20"/>
        </w:rPr>
        <w:t xml:space="preserve">The foundational data layer. All risk calculations originate here.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760"/>
        <w:gridCol w:w="1200"/>
      </w:tblGrid>
      <w:tr>
        <w:trPr>
          <w:tblHeader/>
        </w:trPr>
        <w:tc>
          <w:tcPr>
            <w:tcW w:type="dxa" w:w="2400"/>
            <w:tcBorders>
              <w:top w:val="single" w:color="CBD5E1" w:sz="1"/>
              <w:left w:val="single" w:color="CBD5E1" w:sz="1"/>
              <w:bottom w:val="single" w:color="CBD5E1" w:sz="1"/>
              <w:right w:val="single" w:color="CBD5E1" w:sz="1"/>
            </w:tcBorders>
            <w:shd w:fill="1A56A0" w:val="clear"/>
            <w:tcMar>
              <w:top w:type="dxa" w:w="100"/>
              <w:left w:type="dxa" w:w="120"/>
              <w:bottom w:type="dxa" w:w="100"/>
              <w:right w:type="dxa" w:w="120"/>
            </w:tcMar>
          </w:tcPr>
          <w:p>
            <w:r>
              <w:rPr>
                <w:rFonts w:ascii="Arial" w:cs="Arial" w:eastAsia="Arial" w:hAnsi="Arial"/>
                <w:b/>
                <w:bCs/>
                <w:color w:val="FFFFFF"/>
                <w:sz w:val="18"/>
                <w:szCs w:val="18"/>
              </w:rPr>
              <w:t xml:space="preserve">Feature</w:t>
            </w:r>
          </w:p>
        </w:tc>
        <w:tc>
          <w:tcPr>
            <w:tcW w:type="dxa" w:w="5760"/>
            <w:tcBorders>
              <w:top w:val="single" w:color="CBD5E1" w:sz="1"/>
              <w:left w:val="single" w:color="CBD5E1" w:sz="1"/>
              <w:bottom w:val="single" w:color="CBD5E1" w:sz="1"/>
              <w:right w:val="single" w:color="CBD5E1" w:sz="1"/>
            </w:tcBorders>
            <w:shd w:fill="1A56A0"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A56A0" w:val="clear"/>
            <w:tcMar>
              <w:top w:type="dxa" w:w="100"/>
              <w:left w:type="dxa" w:w="120"/>
              <w:bottom w:type="dxa" w:w="100"/>
              <w:right w:type="dxa" w:w="120"/>
            </w:tcMar>
          </w:tcPr>
          <w:p>
            <w:r>
              <w:rPr>
                <w:rFonts w:ascii="Arial" w:cs="Arial" w:eastAsia="Arial" w:hAnsi="Arial"/>
                <w:b/>
                <w:bCs/>
                <w:color w:val="FFFFFF"/>
                <w:sz w:val="18"/>
                <w:szCs w:val="18"/>
              </w:rPr>
              <w:t xml:space="preserve">Priority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18"/>
                <w:szCs w:val="18"/>
              </w:rPr>
              <w:t xml:space="preserve">Long Book Entry</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Manual entry of long positions: ticker, notional, shares, sector, GICS classification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P0</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2937"/>
                <w:sz w:val="18"/>
                <w:szCs w:val="18"/>
              </w:rPr>
              <w:t xml:space="preserve">Short Book Entry</w:t>
            </w:r>
          </w:p>
        </w:tc>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18"/>
                <w:szCs w:val="18"/>
              </w:rPr>
              <w:t xml:space="preserve">Manual entry of short positions and hedge instruments with identical schema</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DC2626"/>
                <w:sz w:val="18"/>
                <w:szCs w:val="18"/>
              </w:rPr>
              <w:t xml:space="preserve">P0</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18"/>
                <w:szCs w:val="18"/>
              </w:rPr>
              <w:t xml:space="preserve">Beta Override Field</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Per-position forward beta input for activist situations where historical beta is misleading</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P0</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2937"/>
                <w:sz w:val="18"/>
                <w:szCs w:val="18"/>
              </w:rPr>
              <w:t xml:space="preserve">Dollar Beta Calculation</w:t>
            </w:r>
          </w:p>
        </w:tc>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18"/>
                <w:szCs w:val="18"/>
              </w:rPr>
              <w:t xml:space="preserve">Real-time computation of Notional × Beta for every position and portfolio aggregate</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DC2626"/>
                <w:sz w:val="18"/>
                <w:szCs w:val="18"/>
              </w:rPr>
              <w:t xml:space="preserve">P0</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18"/>
                <w:szCs w:val="18"/>
              </w:rPr>
              <w:t xml:space="preserve">Net Beta Display</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Live net portfolio beta with tolerance band indicator and color-coded status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P0</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2937"/>
                <w:sz w:val="18"/>
                <w:szCs w:val="18"/>
              </w:rPr>
              <w:t xml:space="preserve">Sector Classification</w:t>
            </w:r>
          </w:p>
        </w:tc>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18"/>
                <w:szCs w:val="18"/>
              </w:rPr>
              <w:t xml:space="preserve">Automatic GICS sector tagging with manual override capability</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A56A0"/>
                <w:sz w:val="18"/>
                <w:szCs w:val="18"/>
              </w:rPr>
              <w:t xml:space="preserve">P1</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18"/>
                <w:szCs w:val="18"/>
              </w:rPr>
              <w:t xml:space="preserve">Position Import</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CSV upload from prime broker position files (Goldman, Morgan Stanley format)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56A0"/>
                <w:sz w:val="18"/>
                <w:szCs w:val="18"/>
              </w:rPr>
              <w:t xml:space="preserve">P1</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2937"/>
                <w:sz w:val="18"/>
                <w:szCs w:val="18"/>
              </w:rPr>
              <w:t xml:space="preserve">Audit Trail</w:t>
            </w:r>
          </w:p>
        </w:tc>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18"/>
                <w:szCs w:val="18"/>
              </w:rPr>
              <w:t xml:space="preserve">Timestamped log of all position changes, beta overrides, and manual adjustments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A56A0"/>
                <w:sz w:val="18"/>
                <w:szCs w:val="18"/>
              </w:rPr>
              <w:t xml:space="preserve">P1</w:t>
            </w:r>
          </w:p>
        </w:tc>
      </w:tr>
    </w:tbl>
    <w:p>
      <w:pPr>
        <w:spacing w:before="120" w:after="60"/>
      </w:pPr>
    </w:p>
    <w:p>
      <w:pPr>
        <w:pStyle w:val="Heading2"/>
        <w:spacing w:before="200" w:after="100"/>
      </w:pPr>
      <w:r>
        <w:rPr>
          <w:rFonts w:ascii="Arial" w:cs="Arial" w:eastAsia="Arial" w:hAnsi="Arial"/>
          <w:b/>
          <w:bCs/>
          <w:color w:val="1A56A0"/>
          <w:sz w:val="26"/>
          <w:szCs w:val="26"/>
        </w:rPr>
        <w:t xml:space="preserve">Module 2 — Beta Estimation Engine</w:t>
      </w:r>
    </w:p>
    <w:p>
      <w:pPr>
        <w:spacing w:before="60" w:after="100"/>
      </w:pPr>
      <w:r>
        <w:rPr>
          <w:rFonts w:ascii="Arial" w:cs="Arial" w:eastAsia="Arial" w:hAnsi="Arial"/>
          <w:b w:val="false"/>
          <w:bCs w:val="false"/>
          <w:i w:val="false"/>
          <w:iCs w:val="false"/>
          <w:color w:val="1F2937"/>
          <w:sz w:val="20"/>
          <w:szCs w:val="20"/>
        </w:rPr>
        <w:t xml:space="preserve">The quantitative core. Automated beta estimation using institutional methodology.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760"/>
        <w:gridCol w:w="1200"/>
      </w:tblGrid>
      <w:tr>
        <w:trPr>
          <w:tblHeader/>
        </w:trPr>
        <w:tc>
          <w:tcPr>
            <w:tcW w:type="dxa" w:w="2400"/>
            <w:tcBorders>
              <w:top w:val="single" w:color="CBD5E1" w:sz="1"/>
              <w:left w:val="single" w:color="CBD5E1" w:sz="1"/>
              <w:bottom w:val="single" w:color="CBD5E1" w:sz="1"/>
              <w:right w:val="single" w:color="CBD5E1" w:sz="1"/>
            </w:tcBorders>
            <w:shd w:fill="1A56A0" w:val="clear"/>
            <w:tcMar>
              <w:top w:type="dxa" w:w="100"/>
              <w:left w:type="dxa" w:w="120"/>
              <w:bottom w:type="dxa" w:w="100"/>
              <w:right w:type="dxa" w:w="120"/>
            </w:tcMar>
          </w:tcPr>
          <w:p>
            <w:r>
              <w:rPr>
                <w:rFonts w:ascii="Arial" w:cs="Arial" w:eastAsia="Arial" w:hAnsi="Arial"/>
                <w:b/>
                <w:bCs/>
                <w:color w:val="FFFFFF"/>
                <w:sz w:val="18"/>
                <w:szCs w:val="18"/>
              </w:rPr>
              <w:t xml:space="preserve">Feature</w:t>
            </w:r>
          </w:p>
        </w:tc>
        <w:tc>
          <w:tcPr>
            <w:tcW w:type="dxa" w:w="5760"/>
            <w:tcBorders>
              <w:top w:val="single" w:color="CBD5E1" w:sz="1"/>
              <w:left w:val="single" w:color="CBD5E1" w:sz="1"/>
              <w:bottom w:val="single" w:color="CBD5E1" w:sz="1"/>
              <w:right w:val="single" w:color="CBD5E1" w:sz="1"/>
            </w:tcBorders>
            <w:shd w:fill="1A56A0"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A56A0" w:val="clear"/>
            <w:tcMar>
              <w:top w:type="dxa" w:w="100"/>
              <w:left w:type="dxa" w:w="120"/>
              <w:bottom w:type="dxa" w:w="100"/>
              <w:right w:type="dxa" w:w="120"/>
            </w:tcMar>
          </w:tcPr>
          <w:p>
            <w:r>
              <w:rPr>
                <w:rFonts w:ascii="Arial" w:cs="Arial" w:eastAsia="Arial" w:hAnsi="Arial"/>
                <w:b/>
                <w:bCs/>
                <w:color w:val="FFFFFF"/>
                <w:sz w:val="18"/>
                <w:szCs w:val="18"/>
              </w:rPr>
              <w:t xml:space="preserve">Priority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18"/>
                <w:szCs w:val="18"/>
              </w:rPr>
              <w:t xml:space="preserve">Return Data Ingestion</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Daily price and return data via yfinance (Phase 1) / Bloomberg API (Phase 2)</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P0</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2937"/>
                <w:sz w:val="18"/>
                <w:szCs w:val="18"/>
              </w:rPr>
              <w:t xml:space="preserve">EWMA Beta Calculation</w:t>
            </w:r>
          </w:p>
        </w:tc>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18"/>
                <w:szCs w:val="18"/>
              </w:rPr>
              <w:t xml:space="preserve">Rolling EWMA regression, λ=0.94, 252-day window, configurable parameters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DC2626"/>
                <w:sz w:val="18"/>
                <w:szCs w:val="18"/>
              </w:rPr>
              <w:t xml:space="preserve">P0</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18"/>
                <w:szCs w:val="18"/>
              </w:rPr>
              <w:t xml:space="preserve">Vasicek Shrinkage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Full Bayesian shrinkage toward cross-sectional mean beta, uncertainty-weighted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P0</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2937"/>
                <w:sz w:val="18"/>
                <w:szCs w:val="18"/>
              </w:rPr>
              <w:t xml:space="preserve">Dimson Illiquidity Adjustment</w:t>
            </w:r>
          </w:p>
        </w:tc>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18"/>
                <w:szCs w:val="18"/>
              </w:rPr>
              <w:t xml:space="preserve">Multi-lag regression for illiquid names, triggered by liquidity screen</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A56A0"/>
                <w:sz w:val="18"/>
                <w:szCs w:val="18"/>
              </w:rPr>
              <w:t xml:space="preserve">P1</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18"/>
                <w:szCs w:val="18"/>
              </w:rPr>
              <w:t xml:space="preserve">Beta History</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Persistent storage of daily beta estimates per position for trend analysis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56A0"/>
                <w:sz w:val="18"/>
                <w:szCs w:val="18"/>
              </w:rPr>
              <w:t xml:space="preserve">P1</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2937"/>
                <w:sz w:val="18"/>
                <w:szCs w:val="18"/>
              </w:rPr>
              <w:t xml:space="preserve">Beta Confidence Intervals</w:t>
            </w:r>
          </w:p>
        </w:tc>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18"/>
                <w:szCs w:val="18"/>
              </w:rPr>
              <w:t xml:space="preserve">Statistical uncertainty bands on each beta estimate (95% confidence)</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A56A0"/>
                <w:sz w:val="18"/>
                <w:szCs w:val="18"/>
              </w:rPr>
              <w:t xml:space="preserve">P1</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18"/>
                <w:szCs w:val="18"/>
              </w:rPr>
              <w:t xml:space="preserve">Benchmark Configuration</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Per-position benchmark index selection with default auto-assignment by market cap</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4B5563"/>
                <w:sz w:val="18"/>
                <w:szCs w:val="18"/>
              </w:rPr>
              <w:t xml:space="preserve">P2</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2937"/>
                <w:sz w:val="18"/>
                <w:szCs w:val="18"/>
              </w:rPr>
              <w:t xml:space="preserve">Kalman Filter Beta</w:t>
            </w:r>
          </w:p>
        </w:tc>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18"/>
                <w:szCs w:val="18"/>
              </w:rPr>
              <w:t xml:space="preserve">Dynamic state-space beta estimation for positions with known structural breaks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4B5563"/>
                <w:sz w:val="18"/>
                <w:szCs w:val="18"/>
              </w:rPr>
              <w:t xml:space="preserve">P2</w:t>
            </w:r>
          </w:p>
        </w:tc>
      </w:tr>
    </w:tbl>
    <w:p>
      <w:pPr>
        <w:spacing w:before="120" w:after="60"/>
      </w:pPr>
    </w:p>
    <w:p>
      <w:pPr>
        <w:pStyle w:val="Heading2"/>
        <w:spacing w:before="200" w:after="100"/>
      </w:pPr>
      <w:r>
        <w:rPr>
          <w:rFonts w:ascii="Arial" w:cs="Arial" w:eastAsia="Arial" w:hAnsi="Arial"/>
          <w:b/>
          <w:bCs/>
          <w:color w:val="1A56A0"/>
          <w:sz w:val="26"/>
          <w:szCs w:val="26"/>
        </w:rPr>
        <w:t xml:space="preserve">Module 3 — Factor Decomposition &amp; Hedge Optimizer</w:t>
      </w:r>
    </w:p>
    <w:p>
      <w:pPr>
        <w:spacing w:before="60" w:after="100"/>
      </w:pPr>
      <w:r>
        <w:rPr>
          <w:rFonts w:ascii="Arial" w:cs="Arial" w:eastAsia="Arial" w:hAnsi="Arial"/>
          <w:b w:val="false"/>
          <w:bCs w:val="false"/>
          <w:i w:val="false"/>
          <w:iCs w:val="false"/>
          <w:color w:val="1F2937"/>
          <w:sz w:val="20"/>
          <w:szCs w:val="20"/>
        </w:rPr>
        <w:t xml:space="preserve">The most sophisticated module. Converts raw positions into factor exposures and constructs the optimal hedge basket.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760"/>
        <w:gridCol w:w="1200"/>
      </w:tblGrid>
      <w:tr>
        <w:trPr>
          <w:tblHeader/>
        </w:trPr>
        <w:tc>
          <w:tcPr>
            <w:tcW w:type="dxa" w:w="2400"/>
            <w:tcBorders>
              <w:top w:val="single" w:color="CBD5E1" w:sz="1"/>
              <w:left w:val="single" w:color="CBD5E1" w:sz="1"/>
              <w:bottom w:val="single" w:color="CBD5E1" w:sz="1"/>
              <w:right w:val="single" w:color="CBD5E1" w:sz="1"/>
            </w:tcBorders>
            <w:shd w:fill="1A56A0" w:val="clear"/>
            <w:tcMar>
              <w:top w:type="dxa" w:w="100"/>
              <w:left w:type="dxa" w:w="120"/>
              <w:bottom w:type="dxa" w:w="100"/>
              <w:right w:type="dxa" w:w="120"/>
            </w:tcMar>
          </w:tcPr>
          <w:p>
            <w:r>
              <w:rPr>
                <w:rFonts w:ascii="Arial" w:cs="Arial" w:eastAsia="Arial" w:hAnsi="Arial"/>
                <w:b/>
                <w:bCs/>
                <w:color w:val="FFFFFF"/>
                <w:sz w:val="18"/>
                <w:szCs w:val="18"/>
              </w:rPr>
              <w:t xml:space="preserve">Feature</w:t>
            </w:r>
          </w:p>
        </w:tc>
        <w:tc>
          <w:tcPr>
            <w:tcW w:type="dxa" w:w="5760"/>
            <w:tcBorders>
              <w:top w:val="single" w:color="CBD5E1" w:sz="1"/>
              <w:left w:val="single" w:color="CBD5E1" w:sz="1"/>
              <w:bottom w:val="single" w:color="CBD5E1" w:sz="1"/>
              <w:right w:val="single" w:color="CBD5E1" w:sz="1"/>
            </w:tcBorders>
            <w:shd w:fill="1A56A0"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A56A0" w:val="clear"/>
            <w:tcMar>
              <w:top w:type="dxa" w:w="100"/>
              <w:left w:type="dxa" w:w="120"/>
              <w:bottom w:type="dxa" w:w="100"/>
              <w:right w:type="dxa" w:w="120"/>
            </w:tcMar>
          </w:tcPr>
          <w:p>
            <w:r>
              <w:rPr>
                <w:rFonts w:ascii="Arial" w:cs="Arial" w:eastAsia="Arial" w:hAnsi="Arial"/>
                <w:b/>
                <w:bCs/>
                <w:color w:val="FFFFFF"/>
                <w:sz w:val="18"/>
                <w:szCs w:val="18"/>
              </w:rPr>
              <w:t xml:space="preserve">Priority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18"/>
                <w:szCs w:val="18"/>
              </w:rPr>
              <w:t xml:space="preserve">Five-Factor Decomposition</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Market, Size, Value, Momentum, Sector factor loading estimation per position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P0</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2937"/>
                <w:sz w:val="18"/>
                <w:szCs w:val="18"/>
              </w:rPr>
              <w:t xml:space="preserve">Portfolio Factor Aggregation</w:t>
            </w:r>
          </w:p>
        </w:tc>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18"/>
                <w:szCs w:val="18"/>
              </w:rPr>
              <w:t xml:space="preserve">Weighted sum of factor loadings across full portfolio, long and short</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DC2626"/>
                <w:sz w:val="18"/>
                <w:szCs w:val="18"/>
              </w:rPr>
              <w:t xml:space="preserve">P0</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18"/>
                <w:szCs w:val="18"/>
              </w:rPr>
              <w:t xml:space="preserve">CVX Quadratic Optimizer</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Python cvxpy QP solver constructing optimal ETF short basket from factor exposures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P0</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2937"/>
                <w:sz w:val="18"/>
                <w:szCs w:val="18"/>
              </w:rPr>
              <w:t xml:space="preserve">Factor Limit Enforcement</w:t>
            </w:r>
          </w:p>
        </w:tc>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18"/>
                <w:szCs w:val="18"/>
              </w:rPr>
              <w:t xml:space="preserve">Hard constraints on factor exposures with configurable limit thresholds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DC2626"/>
                <w:sz w:val="18"/>
                <w:szCs w:val="18"/>
              </w:rPr>
              <w:t xml:space="preserve">P0</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18"/>
                <w:szCs w:val="18"/>
              </w:rPr>
              <w:t xml:space="preserve">Rebalancing Recommendation</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Specific trade-level output: instrument, direction, shares, estimated factor impact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P0</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2937"/>
                <w:sz w:val="18"/>
                <w:szCs w:val="18"/>
              </w:rPr>
              <w:t xml:space="preserve">Instrument Universe Management</w:t>
            </w:r>
          </w:p>
        </w:tc>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18"/>
                <w:szCs w:val="18"/>
              </w:rPr>
              <w:t xml:space="preserve">Configurable universe of ETFs and individual names available for short book</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A56A0"/>
                <w:sz w:val="18"/>
                <w:szCs w:val="18"/>
              </w:rPr>
              <w:t xml:space="preserve">P1</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18"/>
                <w:szCs w:val="18"/>
              </w:rPr>
              <w:t xml:space="preserve">Borrow Cost Integration</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Estimated short borrow cost incorporated into optimization objective function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56A0"/>
                <w:sz w:val="18"/>
                <w:szCs w:val="18"/>
              </w:rPr>
              <w:t xml:space="preserve">P1</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2937"/>
                <w:sz w:val="18"/>
                <w:szCs w:val="18"/>
              </w:rPr>
              <w:t xml:space="preserve">Scenario Optimization</w:t>
            </w:r>
          </w:p>
        </w:tc>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18"/>
                <w:szCs w:val="18"/>
              </w:rPr>
              <w:t xml:space="preserve">Run optimizer under stressed beta and correlation assumptions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4B5563"/>
                <w:sz w:val="18"/>
                <w:szCs w:val="18"/>
              </w:rPr>
              <w:t xml:space="preserve">P2</w:t>
            </w:r>
          </w:p>
        </w:tc>
      </w:tr>
    </w:tbl>
    <w:p>
      <w:pPr>
        <w:spacing w:before="120" w:after="60"/>
      </w:pPr>
    </w:p>
    <w:p>
      <w:pPr>
        <w:pStyle w:val="Heading2"/>
        <w:spacing w:before="200" w:after="100"/>
      </w:pPr>
      <w:r>
        <w:rPr>
          <w:rFonts w:ascii="Arial" w:cs="Arial" w:eastAsia="Arial" w:hAnsi="Arial"/>
          <w:b/>
          <w:bCs/>
          <w:color w:val="1A56A0"/>
          <w:sz w:val="26"/>
          <w:szCs w:val="26"/>
        </w:rPr>
        <w:t xml:space="preserve">Module 4 — Live Risk Dashboard</w:t>
      </w:r>
    </w:p>
    <w:p>
      <w:pPr>
        <w:spacing w:before="60" w:after="100"/>
      </w:pPr>
      <w:r>
        <w:rPr>
          <w:rFonts w:ascii="Arial" w:cs="Arial" w:eastAsia="Arial" w:hAnsi="Arial"/>
          <w:b w:val="false"/>
          <w:bCs w:val="false"/>
          <w:i w:val="false"/>
          <w:iCs w:val="false"/>
          <w:color w:val="1F2937"/>
          <w:sz w:val="20"/>
          <w:szCs w:val="20"/>
        </w:rPr>
        <w:t xml:space="preserve">The primary interface for daily portfolio monitoring.</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760"/>
        <w:gridCol w:w="1200"/>
      </w:tblGrid>
      <w:tr>
        <w:trPr>
          <w:tblHeader/>
        </w:trPr>
        <w:tc>
          <w:tcPr>
            <w:tcW w:type="dxa" w:w="2400"/>
            <w:tcBorders>
              <w:top w:val="single" w:color="CBD5E1" w:sz="1"/>
              <w:left w:val="single" w:color="CBD5E1" w:sz="1"/>
              <w:bottom w:val="single" w:color="CBD5E1" w:sz="1"/>
              <w:right w:val="single" w:color="CBD5E1" w:sz="1"/>
            </w:tcBorders>
            <w:shd w:fill="1A56A0" w:val="clear"/>
            <w:tcMar>
              <w:top w:type="dxa" w:w="100"/>
              <w:left w:type="dxa" w:w="120"/>
              <w:bottom w:type="dxa" w:w="100"/>
              <w:right w:type="dxa" w:w="120"/>
            </w:tcMar>
          </w:tcPr>
          <w:p>
            <w:r>
              <w:rPr>
                <w:rFonts w:ascii="Arial" w:cs="Arial" w:eastAsia="Arial" w:hAnsi="Arial"/>
                <w:b/>
                <w:bCs/>
                <w:color w:val="FFFFFF"/>
                <w:sz w:val="18"/>
                <w:szCs w:val="18"/>
              </w:rPr>
              <w:t xml:space="preserve">Feature</w:t>
            </w:r>
          </w:p>
        </w:tc>
        <w:tc>
          <w:tcPr>
            <w:tcW w:type="dxa" w:w="5760"/>
            <w:tcBorders>
              <w:top w:val="single" w:color="CBD5E1" w:sz="1"/>
              <w:left w:val="single" w:color="CBD5E1" w:sz="1"/>
              <w:bottom w:val="single" w:color="CBD5E1" w:sz="1"/>
              <w:right w:val="single" w:color="CBD5E1" w:sz="1"/>
            </w:tcBorders>
            <w:shd w:fill="1A56A0"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A56A0" w:val="clear"/>
            <w:tcMar>
              <w:top w:type="dxa" w:w="100"/>
              <w:left w:type="dxa" w:w="120"/>
              <w:bottom w:type="dxa" w:w="100"/>
              <w:right w:type="dxa" w:w="120"/>
            </w:tcMar>
          </w:tcPr>
          <w:p>
            <w:r>
              <w:rPr>
                <w:rFonts w:ascii="Arial" w:cs="Arial" w:eastAsia="Arial" w:hAnsi="Arial"/>
                <w:b/>
                <w:bCs/>
                <w:color w:val="FFFFFF"/>
                <w:sz w:val="18"/>
                <w:szCs w:val="18"/>
              </w:rPr>
              <w:t xml:space="preserve">Priority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18"/>
                <w:szCs w:val="18"/>
              </w:rPr>
              <w:t xml:space="preserve">Real-Time Net Beta</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Live beta computation updated on price feed refresh (EOD initially, intraday Phase 2)</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P0</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2937"/>
                <w:sz w:val="18"/>
                <w:szCs w:val="18"/>
              </w:rPr>
              <w:t xml:space="preserve">Factor Exposure Monitor</w:t>
            </w:r>
          </w:p>
        </w:tc>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18"/>
                <w:szCs w:val="18"/>
              </w:rPr>
              <w:t xml:space="preserve">Real-time display of all five factor exposures vs. limits with visual indicators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DC2626"/>
                <w:sz w:val="18"/>
                <w:szCs w:val="18"/>
              </w:rPr>
              <w:t xml:space="preserve">P0</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18"/>
                <w:szCs w:val="18"/>
              </w:rPr>
              <w:t xml:space="preserve">Drift Alerts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Automated alert generation when beta or factor exposures breach tolerance bands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P0</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2937"/>
                <w:sz w:val="18"/>
                <w:szCs w:val="18"/>
              </w:rPr>
              <w:t xml:space="preserve">Exposure Heatmap</w:t>
            </w:r>
          </w:p>
        </w:tc>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18"/>
                <w:szCs w:val="18"/>
              </w:rPr>
              <w:t xml:space="preserve">Sector and factor exposure visualization across long and short book simultaneously</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DC2626"/>
                <w:sz w:val="18"/>
                <w:szCs w:val="18"/>
              </w:rPr>
              <w:t xml:space="preserve">P0</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18"/>
                <w:szCs w:val="18"/>
              </w:rPr>
              <w:t xml:space="preserve">Dollar Beta Attribution</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Position-level contribution to total portfolio beta dollar exposure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56A0"/>
                <w:sz w:val="18"/>
                <w:szCs w:val="18"/>
              </w:rPr>
              <w:t xml:space="preserve">P1</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2937"/>
                <w:sz w:val="18"/>
                <w:szCs w:val="18"/>
              </w:rPr>
              <w:t xml:space="preserve">PnL Attribution</w:t>
            </w:r>
          </w:p>
        </w:tc>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18"/>
                <w:szCs w:val="18"/>
              </w:rPr>
              <w:t xml:space="preserve">Daily PnL decomposed into factor return contribution vs. idiosyncratic alpha</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A56A0"/>
                <w:sz w:val="18"/>
                <w:szCs w:val="18"/>
              </w:rPr>
              <w:t xml:space="preserve">P1</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18"/>
                <w:szCs w:val="18"/>
              </w:rPr>
              <w:t xml:space="preserve">Hedge Effectiveness Report</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Rolling analysis of how well the short book has offset long book beta</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56A0"/>
                <w:sz w:val="18"/>
                <w:szCs w:val="18"/>
              </w:rPr>
              <w:t xml:space="preserve">P1</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2937"/>
                <w:sz w:val="18"/>
                <w:szCs w:val="18"/>
              </w:rPr>
              <w:t xml:space="preserve">Mobile Alert Push</w:t>
            </w:r>
          </w:p>
        </w:tc>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18"/>
                <w:szCs w:val="18"/>
              </w:rPr>
              <w:t xml:space="preserve">SMS/push notification for critical beta breach events outside market hours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4B5563"/>
                <w:sz w:val="18"/>
                <w:szCs w:val="18"/>
              </w:rPr>
              <w:t xml:space="preserve">P2</w:t>
            </w:r>
          </w:p>
        </w:tc>
      </w:tr>
    </w:tbl>
    <w:p>
      <w:pPr>
        <w:spacing w:before="120" w:after="60"/>
      </w:pPr>
    </w:p>
    <w:p>
      <w:pPr>
        <w:pStyle w:val="Heading2"/>
        <w:spacing w:before="200" w:after="100"/>
      </w:pPr>
      <w:r>
        <w:rPr>
          <w:rFonts w:ascii="Arial" w:cs="Arial" w:eastAsia="Arial" w:hAnsi="Arial"/>
          <w:b/>
          <w:bCs/>
          <w:color w:val="1A56A0"/>
          <w:sz w:val="26"/>
          <w:szCs w:val="26"/>
        </w:rPr>
        <w:t xml:space="preserve">Module 5 — Stress Testing &amp; Scenario Engine</w:t>
      </w:r>
    </w:p>
    <w:p>
      <w:pPr>
        <w:spacing w:before="60" w:after="100"/>
      </w:pPr>
      <w:r>
        <w:rPr>
          <w:rFonts w:ascii="Arial" w:cs="Arial" w:eastAsia="Arial" w:hAnsi="Arial"/>
          <w:b w:val="false"/>
          <w:bCs w:val="false"/>
          <w:i w:val="false"/>
          <w:iCs w:val="false"/>
          <w:color w:val="1F2937"/>
          <w:sz w:val="20"/>
          <w:szCs w:val="20"/>
        </w:rPr>
        <w:t xml:space="preserve">Tail risk quantification and historical scenario analysis.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760"/>
        <w:gridCol w:w="1200"/>
      </w:tblGrid>
      <w:tr>
        <w:trPr>
          <w:tblHeader/>
        </w:trPr>
        <w:tc>
          <w:tcPr>
            <w:tcW w:type="dxa" w:w="2400"/>
            <w:tcBorders>
              <w:top w:val="single" w:color="CBD5E1" w:sz="1"/>
              <w:left w:val="single" w:color="CBD5E1" w:sz="1"/>
              <w:bottom w:val="single" w:color="CBD5E1" w:sz="1"/>
              <w:right w:val="single" w:color="CBD5E1" w:sz="1"/>
            </w:tcBorders>
            <w:shd w:fill="1A56A0" w:val="clear"/>
            <w:tcMar>
              <w:top w:type="dxa" w:w="100"/>
              <w:left w:type="dxa" w:w="120"/>
              <w:bottom w:type="dxa" w:w="100"/>
              <w:right w:type="dxa" w:w="120"/>
            </w:tcMar>
          </w:tcPr>
          <w:p>
            <w:r>
              <w:rPr>
                <w:rFonts w:ascii="Arial" w:cs="Arial" w:eastAsia="Arial" w:hAnsi="Arial"/>
                <w:b/>
                <w:bCs/>
                <w:color w:val="FFFFFF"/>
                <w:sz w:val="18"/>
                <w:szCs w:val="18"/>
              </w:rPr>
              <w:t xml:space="preserve">Feature</w:t>
            </w:r>
          </w:p>
        </w:tc>
        <w:tc>
          <w:tcPr>
            <w:tcW w:type="dxa" w:w="5760"/>
            <w:tcBorders>
              <w:top w:val="single" w:color="CBD5E1" w:sz="1"/>
              <w:left w:val="single" w:color="CBD5E1" w:sz="1"/>
              <w:bottom w:val="single" w:color="CBD5E1" w:sz="1"/>
              <w:right w:val="single" w:color="CBD5E1" w:sz="1"/>
            </w:tcBorders>
            <w:shd w:fill="1A56A0"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A56A0" w:val="clear"/>
            <w:tcMar>
              <w:top w:type="dxa" w:w="100"/>
              <w:left w:type="dxa" w:w="120"/>
              <w:bottom w:type="dxa" w:w="100"/>
              <w:right w:type="dxa" w:w="120"/>
            </w:tcMar>
          </w:tcPr>
          <w:p>
            <w:r>
              <w:rPr>
                <w:rFonts w:ascii="Arial" w:cs="Arial" w:eastAsia="Arial" w:hAnsi="Arial"/>
                <w:b/>
                <w:bCs/>
                <w:color w:val="FFFFFF"/>
                <w:sz w:val="18"/>
                <w:szCs w:val="18"/>
              </w:rPr>
              <w:t xml:space="preserve">Priority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18"/>
                <w:szCs w:val="18"/>
              </w:rPr>
              <w:t xml:space="preserve">Historical Scenario Replay</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Portfolio behavior simulation under 2008 GFC, March 2020, 2022 rate shock, 2015 China VIX spike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56A0"/>
                <w:sz w:val="18"/>
                <w:szCs w:val="18"/>
              </w:rPr>
              <w:t xml:space="preserve">P1</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2937"/>
                <w:sz w:val="18"/>
                <w:szCs w:val="18"/>
              </w:rPr>
              <w:t xml:space="preserve">Correlation Shock Testing</w:t>
            </w:r>
          </w:p>
        </w:tc>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18"/>
                <w:szCs w:val="18"/>
              </w:rPr>
              <w:t xml:space="preserve">Simulate portfolio under assumption that all pair correlations increase to 0.85</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A56A0"/>
                <w:sz w:val="18"/>
                <w:szCs w:val="18"/>
              </w:rPr>
              <w:t xml:space="preserve">P1</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18"/>
                <w:szCs w:val="18"/>
              </w:rPr>
              <w:t xml:space="preserve">Beta Shock Analysis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Portfolio impact if all position betas increase by 30% simultaneously (crisis behavior)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56A0"/>
                <w:sz w:val="18"/>
                <w:szCs w:val="18"/>
              </w:rPr>
              <w:t xml:space="preserve">P1</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2937"/>
                <w:sz w:val="18"/>
                <w:szCs w:val="18"/>
              </w:rPr>
              <w:t xml:space="preserve">Factor Stress Test</w:t>
            </w:r>
          </w:p>
        </w:tc>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18"/>
                <w:szCs w:val="18"/>
              </w:rPr>
              <w:t xml:space="preserve">Isolate portfolio impact of each factor moving by 2, 3, and 5 standard deviations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A56A0"/>
                <w:sz w:val="18"/>
                <w:szCs w:val="18"/>
              </w:rPr>
              <w:t xml:space="preserve">P1</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18"/>
                <w:szCs w:val="18"/>
              </w:rPr>
              <w:t xml:space="preserve">Liquidity Stress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Model portfolio under assumption that long book is 50% less liquid than normal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4B5563"/>
                <w:sz w:val="18"/>
                <w:szCs w:val="18"/>
              </w:rPr>
              <w:t xml:space="preserve">P2</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F2937"/>
                <w:sz w:val="18"/>
                <w:szCs w:val="18"/>
              </w:rPr>
              <w:t xml:space="preserve">Custom Scenario Builder</w:t>
            </w:r>
          </w:p>
        </w:tc>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18"/>
                <w:szCs w:val="18"/>
              </w:rPr>
              <w:t xml:space="preserve">PM-defined scenarios with arbitrary factor shock inputs for custom stress events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4B5563"/>
                <w:sz w:val="18"/>
                <w:szCs w:val="18"/>
              </w:rPr>
              <w:t xml:space="preserve">P2</w:t>
            </w:r>
          </w:p>
        </w:tc>
      </w:tr>
    </w:tbl>
    <w:p>
      <w:pPr>
        <w:spacing w:before="120" w:after="60"/>
      </w:pPr>
    </w:p>
    <w:p>
      <w:r>
        <w:br w:type="page"/>
      </w:r>
    </w:p>
    <w:p>
      <w:pPr>
        <w:spacing w:before="320" w:after="80"/>
      </w:pPr>
      <w:r>
        <w:rPr>
          <w:rFonts w:ascii="Arial" w:cs="Arial" w:eastAsia="Arial" w:hAnsi="Arial"/>
          <w:b/>
          <w:bCs/>
          <w:color w:val="0EA5C8"/>
          <w:spacing w:val="80"/>
          <w:sz w:val="16"/>
          <w:szCs w:val="16"/>
        </w:rPr>
        <w:t xml:space="preserve">07</w:t>
      </w:r>
    </w:p>
    <w:p>
      <w:pPr>
        <w:pStyle w:val="Heading1"/>
        <w:spacing w:before="60" w:after="160"/>
      </w:pPr>
      <w:r>
        <w:rPr>
          <w:rFonts w:ascii="Arial" w:cs="Arial" w:eastAsia="Arial" w:hAnsi="Arial"/>
          <w:b/>
          <w:bCs/>
          <w:color w:val="0D3B6E"/>
          <w:sz w:val="36"/>
          <w:szCs w:val="36"/>
        </w:rPr>
        <w:t xml:space="preserve">Technical Architecture</w:t>
      </w:r>
    </w:p>
    <w:p>
      <w:pPr>
        <w:pBdr>
          <w:bottom w:val="single" w:color="1A56A0" w:sz="8" w:space="1"/>
        </w:pBdr>
        <w:spacing w:before="60" w:after="60"/>
      </w:pPr>
    </w:p>
    <w:p>
      <w:pPr>
        <w:spacing w:before="100" w:after="60"/>
      </w:pPr>
    </w:p>
    <w:p>
      <w:pPr>
        <w:pStyle w:val="Heading2"/>
        <w:spacing w:before="200" w:after="100"/>
      </w:pPr>
      <w:r>
        <w:rPr>
          <w:rFonts w:ascii="Arial" w:cs="Arial" w:eastAsia="Arial" w:hAnsi="Arial"/>
          <w:b/>
          <w:bCs/>
          <w:color w:val="1A56A0"/>
          <w:sz w:val="26"/>
          <w:szCs w:val="26"/>
        </w:rPr>
        <w:t xml:space="preserve">Technology Stack</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BD5E1" w:sz="1"/>
              <w:left w:val="single" w:color="CBD5E1" w:sz="1"/>
              <w:bottom w:val="single" w:color="CBD5E1" w:sz="1"/>
              <w:right w:val="single" w:color="CBD5E1" w:sz="1"/>
            </w:tcBorders>
            <w:shd w:fill="0D3B6E" w:val="clear"/>
            <w:tcMar>
              <w:top w:type="dxa" w:w="100"/>
              <w:left w:type="dxa" w:w="120"/>
              <w:bottom w:type="dxa" w:w="100"/>
              <w:right w:type="dxa" w:w="120"/>
            </w:tcMar>
          </w:tcPr>
          <w:p>
            <w:r>
              <w:rPr>
                <w:rFonts w:ascii="Arial" w:cs="Arial" w:eastAsia="Arial" w:hAnsi="Arial"/>
                <w:b/>
                <w:bCs/>
                <w:color w:val="FFFFFF"/>
                <w:sz w:val="18"/>
                <w:szCs w:val="18"/>
              </w:rPr>
              <w:t xml:space="preserve">Layer</w:t>
            </w:r>
          </w:p>
        </w:tc>
        <w:tc>
          <w:tcPr>
            <w:tcW w:type="dxa" w:w="3000"/>
            <w:tcBorders>
              <w:top w:val="single" w:color="CBD5E1" w:sz="1"/>
              <w:left w:val="single" w:color="CBD5E1" w:sz="1"/>
              <w:bottom w:val="single" w:color="CBD5E1" w:sz="1"/>
              <w:right w:val="single" w:color="CBD5E1" w:sz="1"/>
            </w:tcBorders>
            <w:shd w:fill="0D3B6E" w:val="clear"/>
            <w:tcMar>
              <w:top w:type="dxa" w:w="100"/>
              <w:left w:type="dxa" w:w="120"/>
              <w:bottom w:type="dxa" w:w="100"/>
              <w:right w:type="dxa" w:w="120"/>
            </w:tcMar>
          </w:tcPr>
          <w:p>
            <w:r>
              <w:rPr>
                <w:rFonts w:ascii="Arial" w:cs="Arial" w:eastAsia="Arial" w:hAnsi="Arial"/>
                <w:b/>
                <w:bCs/>
                <w:color w:val="FFFFFF"/>
                <w:sz w:val="18"/>
                <w:szCs w:val="18"/>
              </w:rPr>
              <w:t xml:space="preserve">Technology</w:t>
            </w:r>
          </w:p>
        </w:tc>
        <w:tc>
          <w:tcPr>
            <w:tcW w:type="dxa" w:w="4560"/>
            <w:tcBorders>
              <w:top w:val="single" w:color="CBD5E1" w:sz="1"/>
              <w:left w:val="single" w:color="CBD5E1" w:sz="1"/>
              <w:bottom w:val="single" w:color="CBD5E1" w:sz="1"/>
              <w:right w:val="single" w:color="CBD5E1" w:sz="1"/>
            </w:tcBorders>
            <w:shd w:fill="0D3B6E" w:val="clear"/>
            <w:tcMar>
              <w:top w:type="dxa" w:w="100"/>
              <w:left w:type="dxa" w:w="120"/>
              <w:bottom w:type="dxa" w:w="100"/>
              <w:right w:type="dxa" w:w="120"/>
            </w:tcMar>
          </w:tcPr>
          <w:p>
            <w:r>
              <w:rPr>
                <w:rFonts w:ascii="Arial" w:cs="Arial" w:eastAsia="Arial" w:hAnsi="Arial"/>
                <w:b/>
                <w:bCs/>
                <w:color w:val="FFFFFF"/>
                <w:sz w:val="18"/>
                <w:szCs w:val="18"/>
              </w:rPr>
              <w:t xml:space="preserve">Purpose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Frontend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56A0"/>
                <w:sz w:val="18"/>
                <w:szCs w:val="18"/>
              </w:rPr>
              <w:t xml:space="preserve">React + Tailwind CSS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Dashboard UI, position management interface, visualization components</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18"/>
                <w:szCs w:val="18"/>
              </w:rPr>
              <w:t xml:space="preserve">API Layer</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A56A0"/>
                <w:sz w:val="18"/>
                <w:szCs w:val="18"/>
              </w:rPr>
              <w:t xml:space="preserve">Python FastAPI</w:t>
            </w:r>
          </w:p>
        </w:tc>
        <w:tc>
          <w:tcPr>
            <w:tcW w:type="dxa" w:w="4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18"/>
                <w:szCs w:val="18"/>
              </w:rPr>
              <w:t xml:space="preserve">REST API serving beta calculations, factor data, optimizer output to frontend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Math Engine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56A0"/>
                <w:sz w:val="18"/>
                <w:szCs w:val="18"/>
              </w:rPr>
              <w:t xml:space="preserve">NumPy / Pandas / SciPy</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Return processing, regression engine, statistical calculations</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18"/>
                <w:szCs w:val="18"/>
              </w:rPr>
              <w:t xml:space="preserve">Optimizer</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A56A0"/>
                <w:sz w:val="18"/>
                <w:szCs w:val="18"/>
              </w:rPr>
              <w:t xml:space="preserve">Python cvxpy</w:t>
            </w:r>
          </w:p>
        </w:tc>
        <w:tc>
          <w:tcPr>
            <w:tcW w:type="dxa" w:w="4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18"/>
                <w:szCs w:val="18"/>
              </w:rPr>
              <w:t xml:space="preserve">Quadratic programming solver for hedge basket construction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Market Data</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56A0"/>
                <w:sz w:val="18"/>
                <w:szCs w:val="18"/>
              </w:rPr>
              <w:t xml:space="preserve">yfinance → Bloomberg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Phase 1: yfinance (free). Phase 2: Bloomberg API (production grade)</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18"/>
                <w:szCs w:val="18"/>
              </w:rPr>
              <w:t xml:space="preserve">Factor Data</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A56A0"/>
                <w:sz w:val="18"/>
                <w:szCs w:val="18"/>
              </w:rPr>
              <w:t xml:space="preserve">Ken French Library</w:t>
            </w:r>
          </w:p>
        </w:tc>
        <w:tc>
          <w:tcPr>
            <w:tcW w:type="dxa" w:w="4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18"/>
                <w:szCs w:val="18"/>
              </w:rPr>
              <w:t xml:space="preserve">Daily factor returns for five-factor model estimation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Database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56A0"/>
                <w:sz w:val="18"/>
                <w:szCs w:val="18"/>
              </w:rPr>
              <w:t xml:space="preserve">PostgreSQL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Position history, beta time series, trade log, audit trail</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18"/>
                <w:szCs w:val="18"/>
              </w:rPr>
              <w:t xml:space="preserve">Scheduling</w:t>
            </w:r>
          </w:p>
        </w:tc>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A56A0"/>
                <w:sz w:val="18"/>
                <w:szCs w:val="18"/>
              </w:rPr>
              <w:t xml:space="preserve">Celery + Redis</w:t>
            </w:r>
          </w:p>
        </w:tc>
        <w:tc>
          <w:tcPr>
            <w:tcW w:type="dxa" w:w="4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18"/>
                <w:szCs w:val="18"/>
              </w:rPr>
              <w:t xml:space="preserve">Scheduled EOD beta refresh, rebalancing checks, alert generation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Hosting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56A0"/>
                <w:sz w:val="18"/>
                <w:szCs w:val="18"/>
              </w:rPr>
              <w:t xml:space="preserve">AWS (initial)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EC2 for compute, RDS for database, ElastiCache for Redis</w:t>
            </w:r>
          </w:p>
        </w:tc>
      </w:tr>
    </w:tbl>
    <w:p>
      <w:pPr>
        <w:spacing w:before="120" w:after="60"/>
      </w:pPr>
    </w:p>
    <w:p>
      <w:pPr>
        <w:pStyle w:val="Heading2"/>
        <w:spacing w:before="200" w:after="100"/>
      </w:pPr>
      <w:r>
        <w:rPr>
          <w:rFonts w:ascii="Arial" w:cs="Arial" w:eastAsia="Arial" w:hAnsi="Arial"/>
          <w:b/>
          <w:bCs/>
          <w:color w:val="1A56A0"/>
          <w:sz w:val="26"/>
          <w:szCs w:val="26"/>
        </w:rPr>
        <w:t xml:space="preserve">Data Flow Architecture</w:t>
      </w:r>
    </w:p>
    <w:p>
      <w:pPr>
        <w:spacing w:before="60" w:after="100"/>
      </w:pPr>
      <w:r>
        <w:rPr>
          <w:rFonts w:ascii="Arial" w:cs="Arial" w:eastAsia="Arial" w:hAnsi="Arial"/>
          <w:b w:val="false"/>
          <w:bCs w:val="false"/>
          <w:i w:val="false"/>
          <w:iCs w:val="false"/>
          <w:color w:val="1F2937"/>
          <w:sz w:val="20"/>
          <w:szCs w:val="20"/>
        </w:rPr>
        <w:t xml:space="preserve">Neptune's data flows in a single direction to ensure consistency and auditability:</w:t>
      </w:r>
    </w:p>
    <w:p>
      <w:pPr>
        <w:spacing w:before="40" w:after="40"/>
      </w:pPr>
    </w:p>
    <w:p>
      <w:pPr>
        <w:pStyle w:val="ListParagraph"/>
        <w:numPr>
          <w:ilvl w:val="0"/>
          <w:numId w:val="2"/>
        </w:numPr>
        <w:spacing w:before="40" w:after="40"/>
      </w:pPr>
      <w:r>
        <w:rPr>
          <w:rFonts w:ascii="Arial" w:cs="Arial" w:eastAsia="Arial" w:hAnsi="Arial"/>
          <w:color w:val="1F2937"/>
          <w:sz w:val="20"/>
          <w:szCs w:val="20"/>
        </w:rPr>
        <w:t xml:space="preserve">Market data is ingested at EOD from price feed → stored in raw price table</w:t>
      </w:r>
    </w:p>
    <w:p>
      <w:pPr>
        <w:pStyle w:val="ListParagraph"/>
        <w:numPr>
          <w:ilvl w:val="0"/>
          <w:numId w:val="2"/>
        </w:numPr>
        <w:spacing w:before="40" w:after="40"/>
      </w:pPr>
      <w:r>
        <w:rPr>
          <w:rFonts w:ascii="Arial" w:cs="Arial" w:eastAsia="Arial" w:hAnsi="Arial"/>
          <w:color w:val="1F2937"/>
          <w:sz w:val="20"/>
          <w:szCs w:val="20"/>
        </w:rPr>
        <w:t xml:space="preserve">Return calculation job runs nightly → stores daily returns per instrument</w:t>
      </w:r>
    </w:p>
    <w:p>
      <w:pPr>
        <w:pStyle w:val="ListParagraph"/>
        <w:numPr>
          <w:ilvl w:val="0"/>
          <w:numId w:val="2"/>
        </w:numPr>
        <w:spacing w:before="40" w:after="40"/>
      </w:pPr>
      <w:r>
        <w:rPr>
          <w:rFonts w:ascii="Arial" w:cs="Arial" w:eastAsia="Arial" w:hAnsi="Arial"/>
          <w:color w:val="1F2937"/>
          <w:sz w:val="20"/>
          <w:szCs w:val="20"/>
        </w:rPr>
        <w:t xml:space="preserve">Beta estimation job consumes returns → stores EWMA, Vasicek-adjusted, Dimson betas per position</w:t>
      </w:r>
    </w:p>
    <w:p>
      <w:pPr>
        <w:pStyle w:val="ListParagraph"/>
        <w:numPr>
          <w:ilvl w:val="0"/>
          <w:numId w:val="2"/>
        </w:numPr>
        <w:spacing w:before="40" w:after="40"/>
      </w:pPr>
      <w:r>
        <w:rPr>
          <w:rFonts w:ascii="Arial" w:cs="Arial" w:eastAsia="Arial" w:hAnsi="Arial"/>
          <w:color w:val="1F2937"/>
          <w:sz w:val="20"/>
          <w:szCs w:val="20"/>
        </w:rPr>
        <w:t xml:space="preserve">Factor loading job runs factor regressions → stores factor exposure matrix per position</w:t>
      </w:r>
    </w:p>
    <w:p>
      <w:pPr>
        <w:pStyle w:val="ListParagraph"/>
        <w:numPr>
          <w:ilvl w:val="0"/>
          <w:numId w:val="2"/>
        </w:numPr>
        <w:spacing w:before="40" w:after="40"/>
      </w:pPr>
      <w:r>
        <w:rPr>
          <w:rFonts w:ascii="Arial" w:cs="Arial" w:eastAsia="Arial" w:hAnsi="Arial"/>
          <w:color w:val="1F2937"/>
          <w:sz w:val="20"/>
          <w:szCs w:val="20"/>
        </w:rPr>
        <w:t xml:space="preserve">Optimizer job consumes factor exposures → generates hedge recommendation → stored pending PM approval</w:t>
      </w:r>
    </w:p>
    <w:p>
      <w:pPr>
        <w:pStyle w:val="ListParagraph"/>
        <w:numPr>
          <w:ilvl w:val="0"/>
          <w:numId w:val="2"/>
        </w:numPr>
        <w:spacing w:before="40" w:after="40"/>
      </w:pPr>
      <w:r>
        <w:rPr>
          <w:rFonts w:ascii="Arial" w:cs="Arial" w:eastAsia="Arial" w:hAnsi="Arial"/>
          <w:color w:val="1F2937"/>
          <w:sz w:val="20"/>
          <w:szCs w:val="20"/>
        </w:rPr>
        <w:t xml:space="preserve">Dashboard API reads from pre-computed tables → no live calculation on API request</w:t>
      </w:r>
    </w:p>
    <w:p>
      <w:pPr>
        <w:pStyle w:val="ListParagraph"/>
        <w:numPr>
          <w:ilvl w:val="0"/>
          <w:numId w:val="2"/>
        </w:numPr>
        <w:spacing w:before="40" w:after="40"/>
      </w:pPr>
      <w:r>
        <w:rPr>
          <w:rFonts w:ascii="Arial" w:cs="Arial" w:eastAsia="Arial" w:hAnsi="Arial"/>
          <w:color w:val="1F2937"/>
          <w:sz w:val="20"/>
          <w:szCs w:val="20"/>
        </w:rPr>
        <w:t xml:space="preserve">All writes are timestamped and append-only → full audit trail without soft deletes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EA5C8" w:val="clear"/>
          </w:tcPr>
          <w:p/>
        </w:tc>
        <w:tc>
          <w:tcPr>
            <w:tcW w:type="dxa" w:w="9080"/>
            <w:tcBorders>
              <w:top w:val="none" w:color="FFFFFF" w:sz="0"/>
              <w:left w:val="none" w:color="FFFFFF" w:sz="0"/>
              <w:bottom w:val="none" w:color="FFFFFF" w:sz="0"/>
              <w:right w:val="none" w:color="FFFFFF" w:sz="0"/>
            </w:tcBorders>
            <w:shd w:fill="E0F2FE" w:val="clear"/>
            <w:tcMar>
              <w:top w:type="dxa" w:w="120"/>
              <w:left w:type="dxa" w:w="200"/>
              <w:bottom w:type="dxa" w:w="120"/>
              <w:right w:type="dxa" w:w="120"/>
            </w:tcMar>
          </w:tcPr>
          <w:p>
            <w:pPr>
              <w:spacing w:before="0" w:after="40"/>
            </w:pPr>
            <w:r>
              <w:rPr>
                <w:rFonts w:ascii="Arial" w:cs="Arial" w:eastAsia="Arial" w:hAnsi="Arial"/>
                <w:b/>
                <w:bCs/>
                <w:color w:val="1A56A0"/>
                <w:sz w:val="18"/>
                <w:szCs w:val="18"/>
              </w:rPr>
              <w:t xml:space="preserve">Performance Principle</w:t>
            </w:r>
          </w:p>
          <w:p>
            <w:pPr>
              <w:spacing w:before="0" w:after="0"/>
            </w:pPr>
            <w:r>
              <w:rPr>
                <w:rFonts w:ascii="Arial" w:cs="Arial" w:eastAsia="Arial" w:hAnsi="Arial"/>
                <w:color w:val="1F2937"/>
                <w:sz w:val="18"/>
                <w:szCs w:val="18"/>
              </w:rPr>
              <w:t xml:space="preserve">Neptune pre-computes all heavy calculations on a schedule rather than computing on demand. Dashboard API calls return pre-computed results in milliseconds. This ensures the interface is always responsive regardless of portfolio size or model complexity.</w:t>
            </w:r>
          </w:p>
        </w:tc>
      </w:tr>
    </w:tbl>
    <w:p>
      <w:pPr>
        <w:spacing w:before="120" w:after="60"/>
      </w:pPr>
    </w:p>
    <w:p>
      <w:pPr>
        <w:pStyle w:val="Heading2"/>
        <w:spacing w:before="200" w:after="100"/>
      </w:pPr>
      <w:r>
        <w:rPr>
          <w:rFonts w:ascii="Arial" w:cs="Arial" w:eastAsia="Arial" w:hAnsi="Arial"/>
          <w:b/>
          <w:bCs/>
          <w:color w:val="1A56A0"/>
          <w:sz w:val="26"/>
          <w:szCs w:val="26"/>
        </w:rPr>
        <w:t xml:space="preserve">Security &amp; Access Control</w:t>
      </w:r>
    </w:p>
    <w:p>
      <w:pPr>
        <w:spacing w:before="60" w:after="100"/>
      </w:pPr>
      <w:r>
        <w:rPr>
          <w:rFonts w:ascii="Arial" w:cs="Arial" w:eastAsia="Arial" w:hAnsi="Arial"/>
          <w:b w:val="false"/>
          <w:bCs w:val="false"/>
          <w:i w:val="false"/>
          <w:iCs w:val="false"/>
          <w:color w:val="1F2937"/>
          <w:sz w:val="20"/>
          <w:szCs w:val="20"/>
        </w:rPr>
        <w:t xml:space="preserve">Given the sensitivity of portfolio information, Neptune implements role-based access from day one:</w:t>
      </w:r>
    </w:p>
    <w:p>
      <w:pPr>
        <w:spacing w:before="40" w:after="40"/>
      </w:pPr>
    </w:p>
    <w:p>
      <w:pPr>
        <w:pStyle w:val="ListParagraph"/>
        <w:numPr>
          <w:ilvl w:val="0"/>
          <w:numId w:val="2"/>
        </w:numPr>
        <w:spacing w:before="40" w:after="40"/>
      </w:pPr>
      <w:r>
        <w:rPr>
          <w:rFonts w:ascii="Arial" w:cs="Arial" w:eastAsia="Arial" w:hAnsi="Arial"/>
          <w:b/>
          <w:bCs/>
          <w:color w:val="1A56A0"/>
          <w:sz w:val="20"/>
          <w:szCs w:val="20"/>
        </w:rPr>
        <w:t xml:space="preserve">Portfolio Manager — </w:t>
      </w:r>
      <w:r>
        <w:rPr>
          <w:rFonts w:ascii="Arial" w:cs="Arial" w:eastAsia="Arial" w:hAnsi="Arial"/>
          <w:color w:val="1F2937"/>
          <w:sz w:val="20"/>
          <w:szCs w:val="20"/>
        </w:rPr>
        <w:t xml:space="preserve">Full read/write access to all modules including beta override and position entry</w:t>
      </w:r>
    </w:p>
    <w:p>
      <w:pPr>
        <w:pStyle w:val="ListParagraph"/>
        <w:numPr>
          <w:ilvl w:val="0"/>
          <w:numId w:val="2"/>
        </w:numPr>
        <w:spacing w:before="40" w:after="40"/>
      </w:pPr>
      <w:r>
        <w:rPr>
          <w:rFonts w:ascii="Arial" w:cs="Arial" w:eastAsia="Arial" w:hAnsi="Arial"/>
          <w:b/>
          <w:bCs/>
          <w:color w:val="1A56A0"/>
          <w:sz w:val="20"/>
          <w:szCs w:val="20"/>
        </w:rPr>
        <w:t xml:space="preserve">Risk Analyst — </w:t>
      </w:r>
      <w:r>
        <w:rPr>
          <w:rFonts w:ascii="Arial" w:cs="Arial" w:eastAsia="Arial" w:hAnsi="Arial"/>
          <w:color w:val="1F2937"/>
          <w:sz w:val="20"/>
          <w:szCs w:val="20"/>
        </w:rPr>
        <w:t xml:space="preserve">Full read access, write access to model parameters, no position entry</w:t>
      </w:r>
    </w:p>
    <w:p>
      <w:pPr>
        <w:pStyle w:val="ListParagraph"/>
        <w:numPr>
          <w:ilvl w:val="0"/>
          <w:numId w:val="2"/>
        </w:numPr>
        <w:spacing w:before="40" w:after="40"/>
      </w:pPr>
      <w:r>
        <w:rPr>
          <w:rFonts w:ascii="Arial" w:cs="Arial" w:eastAsia="Arial" w:hAnsi="Arial"/>
          <w:b/>
          <w:bCs/>
          <w:color w:val="1A56A0"/>
          <w:sz w:val="20"/>
          <w:szCs w:val="20"/>
        </w:rPr>
        <w:t xml:space="preserve">Operations — </w:t>
      </w:r>
      <w:r>
        <w:rPr>
          <w:rFonts w:ascii="Arial" w:cs="Arial" w:eastAsia="Arial" w:hAnsi="Arial"/>
          <w:color w:val="1F2937"/>
          <w:sz w:val="20"/>
          <w:szCs w:val="20"/>
        </w:rPr>
        <w:t xml:space="preserve">Position entry and reconciliation access, no model parameter access</w:t>
      </w:r>
    </w:p>
    <w:p>
      <w:pPr>
        <w:pStyle w:val="ListParagraph"/>
        <w:numPr>
          <w:ilvl w:val="0"/>
          <w:numId w:val="2"/>
        </w:numPr>
        <w:spacing w:before="40" w:after="40"/>
      </w:pPr>
      <w:r>
        <w:rPr>
          <w:rFonts w:ascii="Arial" w:cs="Arial" w:eastAsia="Arial" w:hAnsi="Arial"/>
          <w:b/>
          <w:bCs/>
          <w:color w:val="1A56A0"/>
          <w:sz w:val="20"/>
          <w:szCs w:val="20"/>
        </w:rPr>
        <w:t xml:space="preserve">Read Only — </w:t>
      </w:r>
      <w:r>
        <w:rPr>
          <w:rFonts w:ascii="Arial" w:cs="Arial" w:eastAsia="Arial" w:hAnsi="Arial"/>
          <w:color w:val="1F2937"/>
          <w:sz w:val="20"/>
          <w:szCs w:val="20"/>
        </w:rPr>
        <w:t xml:space="preserve">Dashboard view for compliance, auditors, and authorized third parties</w:t>
      </w:r>
    </w:p>
    <w:p>
      <w:pPr>
        <w:spacing w:before="120" w:after="60"/>
      </w:pPr>
    </w:p>
    <w:p>
      <w:r>
        <w:br w:type="page"/>
      </w:r>
    </w:p>
    <w:p>
      <w:pPr>
        <w:spacing w:before="320" w:after="80"/>
      </w:pPr>
      <w:r>
        <w:rPr>
          <w:rFonts w:ascii="Arial" w:cs="Arial" w:eastAsia="Arial" w:hAnsi="Arial"/>
          <w:b/>
          <w:bCs/>
          <w:color w:val="0EA5C8"/>
          <w:spacing w:val="80"/>
          <w:sz w:val="16"/>
          <w:szCs w:val="16"/>
        </w:rPr>
        <w:t xml:space="preserve">08</w:t>
      </w:r>
    </w:p>
    <w:p>
      <w:pPr>
        <w:pStyle w:val="Heading1"/>
        <w:spacing w:before="60" w:after="160"/>
      </w:pPr>
      <w:r>
        <w:rPr>
          <w:rFonts w:ascii="Arial" w:cs="Arial" w:eastAsia="Arial" w:hAnsi="Arial"/>
          <w:b/>
          <w:bCs/>
          <w:color w:val="0D3B6E"/>
          <w:sz w:val="36"/>
          <w:szCs w:val="36"/>
        </w:rPr>
        <w:t xml:space="preserve">Build Roadmap</w:t>
      </w:r>
    </w:p>
    <w:p>
      <w:pPr>
        <w:pBdr>
          <w:bottom w:val="single" w:color="1A56A0" w:sz="8" w:space="1"/>
        </w:pBdr>
        <w:spacing w:before="60" w:after="60"/>
      </w:pPr>
    </w:p>
    <w:p>
      <w:pPr>
        <w:spacing w:before="100" w:after="60"/>
      </w:pPr>
    </w:p>
    <w:p>
      <w:pPr>
        <w:spacing w:before="60" w:after="100"/>
      </w:pPr>
      <w:r>
        <w:rPr>
          <w:rFonts w:ascii="Arial" w:cs="Arial" w:eastAsia="Arial" w:hAnsi="Arial"/>
          <w:b w:val="false"/>
          <w:bCs w:val="false"/>
          <w:i w:val="false"/>
          <w:iCs w:val="false"/>
          <w:color w:val="1F2937"/>
          <w:sz w:val="20"/>
          <w:szCs w:val="20"/>
        </w:rPr>
        <w:t xml:space="preserve">Neptune is designed to deliver value at each phase of construction. Each phase is independently useful while building toward the full platform vision. No phase requires the next to be functional.</w:t>
      </w:r>
    </w:p>
    <w:p>
      <w:pPr>
        <w:spacing w:before="10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360"/>
        <w:gridCol w:w="1800"/>
      </w:tblGrid>
      <w:tr>
        <w:trPr>
          <w:tblHeader/>
        </w:trPr>
        <w:tc>
          <w:tcPr>
            <w:tcW w:type="dxa" w:w="1200"/>
            <w:tcBorders>
              <w:top w:val="single" w:color="CBD5E1" w:sz="1"/>
              <w:left w:val="single" w:color="CBD5E1" w:sz="1"/>
              <w:bottom w:val="single" w:color="CBD5E1" w:sz="1"/>
              <w:right w:val="single" w:color="CBD5E1" w:sz="1"/>
            </w:tcBorders>
            <w:shd w:fill="0D3B6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Phase</w:t>
            </w:r>
          </w:p>
        </w:tc>
        <w:tc>
          <w:tcPr>
            <w:tcW w:type="dxa" w:w="2000"/>
            <w:tcBorders>
              <w:top w:val="single" w:color="CBD5E1" w:sz="1"/>
              <w:left w:val="single" w:color="CBD5E1" w:sz="1"/>
              <w:bottom w:val="single" w:color="CBD5E1" w:sz="1"/>
              <w:right w:val="single" w:color="CBD5E1" w:sz="1"/>
            </w:tcBorders>
            <w:shd w:fill="0D3B6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Module</w:t>
            </w:r>
          </w:p>
        </w:tc>
        <w:tc>
          <w:tcPr>
            <w:tcW w:type="dxa" w:w="4360"/>
            <w:tcBorders>
              <w:top w:val="single" w:color="CBD5E1" w:sz="1"/>
              <w:left w:val="single" w:color="CBD5E1" w:sz="1"/>
              <w:bottom w:val="single" w:color="CBD5E1" w:sz="1"/>
              <w:right w:val="single" w:color="CBD5E1" w:sz="1"/>
            </w:tcBorders>
            <w:shd w:fill="0D3B6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Description</w:t>
            </w:r>
          </w:p>
        </w:tc>
        <w:tc>
          <w:tcPr>
            <w:tcW w:type="dxa" w:w="1800"/>
            <w:tcBorders>
              <w:top w:val="single" w:color="CBD5E1" w:sz="1"/>
              <w:left w:val="single" w:color="CBD5E1" w:sz="1"/>
              <w:bottom w:val="single" w:color="CBD5E1" w:sz="1"/>
              <w:right w:val="single" w:color="CBD5E1" w:sz="1"/>
            </w:tcBorders>
            <w:shd w:fill="0D3B6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Timeline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A56A0"/>
                <w:sz w:val="18"/>
                <w:szCs w:val="18"/>
              </w:rPr>
              <w:t xml:space="preserve">Phase 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Position Manager</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Position entry, manual beta input, real-time net beta calculation, sector exposure visualization, basic dashboard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Weeks 1–3</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center"/>
          </w:tcPr>
          <w:p>
            <w:r>
              <w:rPr>
                <w:rFonts w:ascii="Arial" w:cs="Arial" w:eastAsia="Arial" w:hAnsi="Arial"/>
                <w:b/>
                <w:bCs/>
                <w:color w:val="1A56A0"/>
                <w:sz w:val="18"/>
                <w:szCs w:val="18"/>
              </w:rPr>
              <w:t xml:space="preserve">Phase 2</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Beta Engine</w:t>
            </w:r>
          </w:p>
        </w:tc>
        <w:tc>
          <w:tcPr>
            <w:tcW w:type="dxa" w:w="4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yfinance data ingestion, EWMA rolling regression, Vasicek shrinkage, Dimson adjustment, beta history storage</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Weeks 4–7</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A56A0"/>
                <w:sz w:val="18"/>
                <w:szCs w:val="18"/>
              </w:rPr>
              <w:t xml:space="preserve">Phase 3</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Hedge Optimizer</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Five-factor decomposition, CVX QP solver, ETF universe management, rebalancing recommendation output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Weeks 8–12</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center"/>
          </w:tcPr>
          <w:p>
            <w:r>
              <w:rPr>
                <w:rFonts w:ascii="Arial" w:cs="Arial" w:eastAsia="Arial" w:hAnsi="Arial"/>
                <w:b/>
                <w:bCs/>
                <w:color w:val="1A56A0"/>
                <w:sz w:val="18"/>
                <w:szCs w:val="18"/>
              </w:rPr>
              <w:t xml:space="preserve">Phase 4</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Live Dashboard</w:t>
            </w:r>
          </w:p>
        </w:tc>
        <w:tc>
          <w:tcPr>
            <w:tcW w:type="dxa" w:w="4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Real-time beta monitoring, factor exposure heatmap, drift alerts, PnL attribution, hedge effectiveness reporting</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Weeks 13–16</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A56A0"/>
                <w:sz w:val="18"/>
                <w:szCs w:val="18"/>
              </w:rPr>
              <w:t xml:space="preserve">Phase 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Stress Engine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Historical scenario replay, correlation shock, beta shock, factor stress tests, custom scenario builder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Weeks 17–20</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center"/>
          </w:tcPr>
          <w:p>
            <w:r>
              <w:rPr>
                <w:rFonts w:ascii="Arial" w:cs="Arial" w:eastAsia="Arial" w:hAnsi="Arial"/>
                <w:b/>
                <w:bCs/>
                <w:color w:val="1A56A0"/>
                <w:sz w:val="18"/>
                <w:szCs w:val="18"/>
              </w:rPr>
              <w:t xml:space="preserve">Phase 6</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Production</w:t>
            </w:r>
          </w:p>
        </w:tc>
        <w:tc>
          <w:tcPr>
            <w:tcW w:type="dxa" w:w="4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Bloomberg API integration, prime broker position feed, mobile alerts, enhanced access controls, performance audit</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Weeks 21–26</w:t>
            </w:r>
          </w:p>
        </w:tc>
      </w:tr>
    </w:tbl>
    <w:p>
      <w:pPr>
        <w:spacing w:before="120" w:after="60"/>
      </w:pPr>
    </w:p>
    <w:p>
      <w:pPr>
        <w:pStyle w:val="Heading2"/>
        <w:spacing w:before="200" w:after="100"/>
      </w:pPr>
      <w:r>
        <w:rPr>
          <w:rFonts w:ascii="Arial" w:cs="Arial" w:eastAsia="Arial" w:hAnsi="Arial"/>
          <w:b/>
          <w:bCs/>
          <w:color w:val="1A56A0"/>
          <w:sz w:val="26"/>
          <w:szCs w:val="26"/>
        </w:rPr>
        <w:t xml:space="preserve">Decision Gates</w:t>
      </w:r>
    </w:p>
    <w:p>
      <w:pPr>
        <w:spacing w:before="60" w:after="100"/>
      </w:pPr>
      <w:r>
        <w:rPr>
          <w:rFonts w:ascii="Arial" w:cs="Arial" w:eastAsia="Arial" w:hAnsi="Arial"/>
          <w:b w:val="false"/>
          <w:bCs w:val="false"/>
          <w:i w:val="false"/>
          <w:iCs w:val="false"/>
          <w:color w:val="1F2937"/>
          <w:sz w:val="20"/>
          <w:szCs w:val="20"/>
        </w:rPr>
        <w:t xml:space="preserve">At the completion of each phase, a structured review determines whether to proceed, adjust, or pause. The following questions are evaluated at each gate:</w:t>
      </w:r>
    </w:p>
    <w:p>
      <w:pPr>
        <w:spacing w:before="40" w:after="40"/>
      </w:pPr>
    </w:p>
    <w:p>
      <w:pPr>
        <w:pStyle w:val="ListParagraph"/>
        <w:numPr>
          <w:ilvl w:val="0"/>
          <w:numId w:val="2"/>
        </w:numPr>
        <w:spacing w:before="40" w:after="40"/>
      </w:pPr>
      <w:r>
        <w:rPr>
          <w:rFonts w:ascii="Arial" w:cs="Arial" w:eastAsia="Arial" w:hAnsi="Arial"/>
          <w:color w:val="1F2937"/>
          <w:sz w:val="20"/>
          <w:szCs w:val="20"/>
        </w:rPr>
        <w:t xml:space="preserve">Does the beta estimation output match intuition on known positions? (Phase 2 gate)</w:t>
      </w:r>
    </w:p>
    <w:p>
      <w:pPr>
        <w:pStyle w:val="ListParagraph"/>
        <w:numPr>
          <w:ilvl w:val="0"/>
          <w:numId w:val="2"/>
        </w:numPr>
        <w:spacing w:before="40" w:after="40"/>
      </w:pPr>
      <w:r>
        <w:rPr>
          <w:rFonts w:ascii="Arial" w:cs="Arial" w:eastAsia="Arial" w:hAnsi="Arial"/>
          <w:color w:val="1F2937"/>
          <w:sz w:val="20"/>
          <w:szCs w:val="20"/>
        </w:rPr>
        <w:t xml:space="preserve">Does the optimizer recommend hedges that a PM would recognize as sensible? (Phase 3 gate)</w:t>
      </w:r>
    </w:p>
    <w:p>
      <w:pPr>
        <w:pStyle w:val="ListParagraph"/>
        <w:numPr>
          <w:ilvl w:val="0"/>
          <w:numId w:val="2"/>
        </w:numPr>
        <w:spacing w:before="40" w:after="40"/>
      </w:pPr>
      <w:r>
        <w:rPr>
          <w:rFonts w:ascii="Arial" w:cs="Arial" w:eastAsia="Arial" w:hAnsi="Arial"/>
          <w:color w:val="1F2937"/>
          <w:sz w:val="20"/>
          <w:szCs w:val="20"/>
        </w:rPr>
        <w:t xml:space="preserve">Is the dashboard fast enough and clear enough for daily use without training? (Phase 4 gate)</w:t>
      </w:r>
    </w:p>
    <w:p>
      <w:pPr>
        <w:pStyle w:val="ListParagraph"/>
        <w:numPr>
          <w:ilvl w:val="0"/>
          <w:numId w:val="2"/>
        </w:numPr>
        <w:spacing w:before="40" w:after="40"/>
      </w:pPr>
      <w:r>
        <w:rPr>
          <w:rFonts w:ascii="Arial" w:cs="Arial" w:eastAsia="Arial" w:hAnsi="Arial"/>
          <w:color w:val="1F2937"/>
          <w:sz w:val="20"/>
          <w:szCs w:val="20"/>
        </w:rPr>
        <w:t xml:space="preserve">Do stress tests produce results consistent with known historical behavior? (Phase 5 gate)</w:t>
      </w:r>
    </w:p>
    <w:p>
      <w:pPr>
        <w:pStyle w:val="ListParagraph"/>
        <w:numPr>
          <w:ilvl w:val="0"/>
          <w:numId w:val="2"/>
        </w:numPr>
        <w:spacing w:before="40" w:after="40"/>
      </w:pPr>
      <w:r>
        <w:rPr>
          <w:rFonts w:ascii="Arial" w:cs="Arial" w:eastAsia="Arial" w:hAnsi="Arial"/>
          <w:color w:val="1F2937"/>
          <w:sz w:val="20"/>
          <w:szCs w:val="20"/>
        </w:rPr>
        <w:t xml:space="preserve">Is the system reliable enough to be the primary risk tool for live portfolio management? (Phase 6 gate)</w:t>
      </w:r>
    </w:p>
    <w:p>
      <w:pPr>
        <w:spacing w:before="120" w:after="60"/>
      </w:pPr>
    </w:p>
    <w:p>
      <w:r>
        <w:br w:type="page"/>
      </w:r>
    </w:p>
    <w:p>
      <w:pPr>
        <w:spacing w:before="320" w:after="80"/>
      </w:pPr>
      <w:r>
        <w:rPr>
          <w:rFonts w:ascii="Arial" w:cs="Arial" w:eastAsia="Arial" w:hAnsi="Arial"/>
          <w:b/>
          <w:bCs/>
          <w:color w:val="0EA5C8"/>
          <w:spacing w:val="80"/>
          <w:sz w:val="16"/>
          <w:szCs w:val="16"/>
        </w:rPr>
        <w:t xml:space="preserve">09</w:t>
      </w:r>
    </w:p>
    <w:p>
      <w:pPr>
        <w:pStyle w:val="Heading1"/>
        <w:spacing w:before="60" w:after="160"/>
      </w:pPr>
      <w:r>
        <w:rPr>
          <w:rFonts w:ascii="Arial" w:cs="Arial" w:eastAsia="Arial" w:hAnsi="Arial"/>
          <w:b/>
          <w:bCs/>
          <w:color w:val="0D3B6E"/>
          <w:sz w:val="36"/>
          <w:szCs w:val="36"/>
        </w:rPr>
        <w:t xml:space="preserve">Future Vision</w:t>
      </w:r>
    </w:p>
    <w:p>
      <w:pPr>
        <w:pBdr>
          <w:bottom w:val="single" w:color="1A56A0" w:sz="8" w:space="1"/>
        </w:pBdr>
        <w:spacing w:before="60" w:after="60"/>
      </w:pPr>
    </w:p>
    <w:p>
      <w:pPr>
        <w:spacing w:before="100" w:after="60"/>
      </w:pPr>
    </w:p>
    <w:p>
      <w:pPr>
        <w:pStyle w:val="Heading2"/>
        <w:spacing w:before="200" w:after="100"/>
      </w:pPr>
      <w:r>
        <w:rPr>
          <w:rFonts w:ascii="Arial" w:cs="Arial" w:eastAsia="Arial" w:hAnsi="Arial"/>
          <w:b/>
          <w:bCs/>
          <w:color w:val="1A56A0"/>
          <w:sz w:val="26"/>
          <w:szCs w:val="26"/>
        </w:rPr>
        <w:t xml:space="preserve">Phase 7+ Capabilities (Post-Launch)</w:t>
      </w:r>
    </w:p>
    <w:p>
      <w:pPr>
        <w:spacing w:before="60" w:after="100"/>
      </w:pPr>
      <w:r>
        <w:rPr>
          <w:rFonts w:ascii="Arial" w:cs="Arial" w:eastAsia="Arial" w:hAnsi="Arial"/>
          <w:b w:val="false"/>
          <w:bCs w:val="false"/>
          <w:i w:val="false"/>
          <w:iCs w:val="false"/>
          <w:color w:val="1F2937"/>
          <w:sz w:val="20"/>
          <w:szCs w:val="20"/>
        </w:rPr>
        <w:t xml:space="preserve">The following capabilities are out of scope for the initial build but represent the longer-term product vision as Neptune matures:</w:t>
      </w:r>
    </w:p>
    <w:p>
      <w:pPr>
        <w:spacing w:before="60" w:after="60"/>
      </w:pPr>
    </w:p>
    <w:p>
      <w:pPr>
        <w:spacing w:before="160" w:after="80"/>
      </w:pPr>
      <w:r>
        <w:rPr>
          <w:rFonts w:ascii="Arial" w:cs="Arial" w:eastAsia="Arial" w:hAnsi="Arial"/>
          <w:b/>
          <w:bCs/>
          <w:color w:val="1F2937"/>
          <w:sz w:val="22"/>
          <w:szCs w:val="22"/>
        </w:rPr>
        <w:t xml:space="preserve">Kalman Filter Dynamic Beta</w:t>
      </w:r>
    </w:p>
    <w:p>
      <w:pPr>
        <w:spacing w:before="60" w:after="100"/>
      </w:pPr>
      <w:r>
        <w:rPr>
          <w:rFonts w:ascii="Arial" w:cs="Arial" w:eastAsia="Arial" w:hAnsi="Arial"/>
          <w:b w:val="false"/>
          <w:bCs w:val="false"/>
          <w:i w:val="false"/>
          <w:iCs w:val="false"/>
          <w:color w:val="1F2937"/>
          <w:sz w:val="20"/>
          <w:szCs w:val="20"/>
        </w:rPr>
        <w:t xml:space="preserve">Replace EWMA with a state-space Kalman filter for positions with known structural breaks (post-catalyst, post-merger, post-management change). This is the current institutional best practice at the most sophisticated hedge funds and produces superior estimates for precisely the situations activist managers encounter most.</w:t>
      </w:r>
    </w:p>
    <w:p>
      <w:pPr>
        <w:spacing w:before="80" w:after="60"/>
      </w:pPr>
    </w:p>
    <w:p>
      <w:pPr>
        <w:spacing w:before="160" w:after="80"/>
      </w:pPr>
      <w:r>
        <w:rPr>
          <w:rFonts w:ascii="Arial" w:cs="Arial" w:eastAsia="Arial" w:hAnsi="Arial"/>
          <w:b/>
          <w:bCs/>
          <w:color w:val="1F2937"/>
          <w:sz w:val="22"/>
          <w:szCs w:val="22"/>
        </w:rPr>
        <w:t xml:space="preserve">Fundamental Beta Integration</w:t>
      </w:r>
    </w:p>
    <w:p>
      <w:pPr>
        <w:spacing w:before="60" w:after="100"/>
      </w:pPr>
      <w:r>
        <w:rPr>
          <w:rFonts w:ascii="Arial" w:cs="Arial" w:eastAsia="Arial" w:hAnsi="Arial"/>
          <w:b w:val="false"/>
          <w:bCs w:val="false"/>
          <w:i w:val="false"/>
          <w:iCs w:val="false"/>
          <w:color w:val="1F2937"/>
          <w:sz w:val="20"/>
          <w:szCs w:val="20"/>
        </w:rPr>
        <w:t xml:space="preserve">Augment return-based beta estimates with fundamental factor inputs (leverage, earnings variability, revenue cyclicality, asset intensity) following the Barra methodology. This enables forward beta estimation for positions without sufficient return history — a common challenge when entering new activist situations.</w:t>
      </w:r>
    </w:p>
    <w:p>
      <w:pPr>
        <w:spacing w:before="80" w:after="60"/>
      </w:pPr>
    </w:p>
    <w:p>
      <w:pPr>
        <w:spacing w:before="160" w:after="80"/>
      </w:pPr>
      <w:r>
        <w:rPr>
          <w:rFonts w:ascii="Arial" w:cs="Arial" w:eastAsia="Arial" w:hAnsi="Arial"/>
          <w:b/>
          <w:bCs/>
          <w:color w:val="1F2937"/>
          <w:sz w:val="22"/>
          <w:szCs w:val="22"/>
        </w:rPr>
        <w:t xml:space="preserve">NLP Catalyst Monitor</w:t>
      </w:r>
    </w:p>
    <w:p>
      <w:pPr>
        <w:spacing w:before="60" w:after="100"/>
      </w:pPr>
      <w:r>
        <w:rPr>
          <w:rFonts w:ascii="Arial" w:cs="Arial" w:eastAsia="Arial" w:hAnsi="Arial"/>
          <w:b w:val="false"/>
          <w:bCs w:val="false"/>
          <w:i w:val="false"/>
          <w:iCs w:val="false"/>
          <w:color w:val="1F2937"/>
          <w:sz w:val="20"/>
          <w:szCs w:val="20"/>
        </w:rPr>
        <w:t xml:space="preserve">Automated monitoring of SEC filings, press releases, and earnings transcripts for the long book. Flag events likely to cause beta regime changes (management departures, shareholder letters, strategic reviews). Alert the beta engine to consider a fresh estimation rather than relying on stale historical data.</w:t>
      </w:r>
    </w:p>
    <w:p>
      <w:pPr>
        <w:spacing w:before="80" w:after="60"/>
      </w:pPr>
    </w:p>
    <w:p>
      <w:pPr>
        <w:spacing w:before="160" w:after="80"/>
      </w:pPr>
      <w:r>
        <w:rPr>
          <w:rFonts w:ascii="Arial" w:cs="Arial" w:eastAsia="Arial" w:hAnsi="Arial"/>
          <w:b/>
          <w:bCs/>
          <w:color w:val="1F2937"/>
          <w:sz w:val="22"/>
          <w:szCs w:val="22"/>
        </w:rPr>
        <w:t xml:space="preserve">LP Reporting Integration</w:t>
      </w:r>
    </w:p>
    <w:p>
      <w:pPr>
        <w:spacing w:before="60" w:after="100"/>
      </w:pPr>
      <w:r>
        <w:rPr>
          <w:rFonts w:ascii="Arial" w:cs="Arial" w:eastAsia="Arial" w:hAnsi="Arial"/>
          <w:b w:val="false"/>
          <w:bCs w:val="false"/>
          <w:i w:val="false"/>
          <w:iCs w:val="false"/>
          <w:color w:val="1F2937"/>
          <w:sz w:val="20"/>
          <w:szCs w:val="20"/>
        </w:rPr>
        <w:t xml:space="preserve">Automated generation of risk sections for quarterly LP letters, drawing directly from Neptune's factor decomposition and stress test outputs. Replaces manually assembled risk narratives with a consistent, quantitatively grounded format that LPs with institutional backgrounds will immediately recognize and respect.</w:t>
      </w:r>
    </w:p>
    <w:p>
      <w:pPr>
        <w:spacing w:before="80" w:after="60"/>
      </w:pPr>
    </w:p>
    <w:p>
      <w:pPr>
        <w:spacing w:before="160" w:after="80"/>
      </w:pPr>
      <w:r>
        <w:rPr>
          <w:rFonts w:ascii="Arial" w:cs="Arial" w:eastAsia="Arial" w:hAnsi="Arial"/>
          <w:b/>
          <w:bCs/>
          <w:color w:val="1F2937"/>
          <w:sz w:val="22"/>
          <w:szCs w:val="22"/>
        </w:rPr>
        <w:t xml:space="preserve">Multi-Portfolio Support</w:t>
      </w:r>
    </w:p>
    <w:p>
      <w:pPr>
        <w:spacing w:before="60" w:after="100"/>
      </w:pPr>
      <w:r>
        <w:rPr>
          <w:rFonts w:ascii="Arial" w:cs="Arial" w:eastAsia="Arial" w:hAnsi="Arial"/>
          <w:b w:val="false"/>
          <w:bCs w:val="false"/>
          <w:i w:val="false"/>
          <w:iCs w:val="false"/>
          <w:color w:val="1F2937"/>
          <w:sz w:val="20"/>
          <w:szCs w:val="20"/>
        </w:rPr>
        <w:t xml:space="preserve">Multi-portfolio support has been promoted to a full architectural specification. See Section 10 — Multi-Portfolio Architecture for the complete data model, aggregation logic, Book of Books dashboard design, and build phasing.</w:t>
      </w:r>
    </w:p>
    <w:p>
      <w:pPr>
        <w:spacing w:before="120" w:after="60"/>
      </w:pPr>
    </w:p>
    <w:p>
      <w:pPr>
        <w:spacing w:before="320" w:after="80"/>
      </w:pPr>
      <w:r>
        <w:rPr>
          <w:rFonts w:ascii="Arial" w:cs="Arial" w:eastAsia="Arial" w:hAnsi="Arial"/>
          <w:b/>
          <w:bCs/>
          <w:color w:val="0EA5C8"/>
          <w:spacing w:val="80"/>
          <w:sz w:val="16"/>
          <w:szCs w:val="16"/>
        </w:rPr>
      </w:r>
    </w:p>
    <w:p>
      <w:pPr>
        <w:spacing w:before="320" w:after="80"/>
      </w:pPr>
      <w:r>
        <w:rPr>
          <w:rFonts w:ascii="Arial" w:cs="Arial" w:eastAsia="Arial" w:hAnsi="Arial"/>
          <w:b/>
          <w:bCs/>
          <w:color w:val="0EA5C8"/>
          <w:spacing w:val="80"/>
          <w:sz w:val="16"/>
          <w:szCs w:val="16"/>
        </w:rPr>
        <w:t xml:space="preserve">10</w:t>
      </w:r>
    </w:p>
    <w:p>
      <w:pPr>
        <w:pStyle w:val="Heading1"/>
        <w:spacing w:before="60" w:after="160"/>
      </w:pPr>
      <w:r>
        <w:rPr>
          <w:rFonts w:ascii="Arial" w:cs="Arial" w:eastAsia="Arial" w:hAnsi="Arial"/>
          <w:b/>
          <w:bCs/>
          <w:color w:val="0D3B6E"/>
          <w:sz w:val="36"/>
          <w:szCs w:val="36"/>
        </w:rPr>
        <w:t xml:space="preserve">Multi-Portfolio Architecture</w:t>
      </w:r>
    </w:p>
    <w:p>
      <w:pPr>
        <w:pBdr>
          <w:bottom w:val="single" w:color="1A56A0" w:sz="8" w:space="1"/>
        </w:pBdr>
        <w:spacing w:before="0" w:after="200"/>
      </w:pPr>
    </w:p>
    <w:p>
      <w:pPr>
        <w:spacing w:before="60" w:after="100"/>
      </w:pPr>
      <w:r>
        <w:rPr>
          <w:rFonts w:ascii="Arial" w:cs="Arial" w:eastAsia="Arial" w:hAnsi="Arial"/>
          <w:color w:val="1F2937"/>
          <w:sz w:val="20"/>
          <w:szCs w:val="20"/>
        </w:rPr>
        <w:t xml:space="preserve">Neptune is designed from the ground up to support multiple discrete portfolios running simultaneously, each with its own positions, beta targets, factor constraints, and hedge book. Above this per-portfolio layer sits a consolidated “Book of Books” view that aggregates all portfolio exposures into a single firm-level risk picture. This architecture matches how Iridium Capital actually operates: activist positions may run in separate managed accounts, co-investment vehicles, or strategy sleeves, but the CIO needs to see aggregate beta and factor exposure across all of them at once.</w:t>
      </w:r>
    </w:p>
    <w:p>
      <w:pPr>
        <w:pStyle w:val="Heading2"/>
        <w:spacing w:before="200" w:after="80"/>
      </w:pPr>
      <w:r>
        <w:rPr>
          <w:rFonts w:ascii="Arial" w:cs="Arial" w:eastAsia="Arial" w:hAnsi="Arial"/>
          <w:b/>
          <w:bCs/>
          <w:color w:val="1A56A0"/>
          <w:sz w:val="24"/>
          <w:szCs w:val="24"/>
        </w:rPr>
        <w:t xml:space="preserve">Portfolio Data Model</w:t>
      </w:r>
    </w:p>
    <w:p>
      <w:pPr>
        <w:spacing w:before="60" w:after="100"/>
      </w:pPr>
      <w:r>
        <w:rPr>
          <w:rFonts w:ascii="Arial" w:cs="Arial" w:eastAsia="Arial" w:hAnsi="Arial"/>
          <w:color w:val="1F2937"/>
          <w:sz w:val="20"/>
          <w:szCs w:val="20"/>
        </w:rPr>
        <w:t xml:space="preserve">Each portfolio in Neptune is a first-class entity with its own configuration, positions, and risk state. Portfolios are independent but share a common data layer for market data, factor models, and beta estimates. The hierarchy is three levels deep.</w:t>
      </w:r>
    </w:p>
    <w:p>
      <w:pPr>
        <w:spacing w:before="60" w:after="60"/>
      </w:pPr>
      <w:r>
        <w:rPr>
          <w:rFonts w:ascii="Arial" w:cs="Arial" w:eastAsia="Arial" w:hAnsi="Arial"/>
          <w:b/>
          <w:color w:val="1F2937"/>
          <w:sz w:val="20"/>
          <w:szCs w:val="20"/>
        </w:rPr>
        <w:t xml:space="preserve">Firm Level (Book of Books)</w:t>
      </w:r>
      <w:r>
        <w:rPr>
          <w:rFonts w:ascii="Arial" w:cs="Arial" w:eastAsia="Arial" w:hAnsi="Arial"/>
          <w:color w:val="4B5563"/>
          <w:sz w:val="20"/>
          <w:szCs w:val="20"/>
        </w:rPr>
        <w:t xml:space="preserve"> — Aggregated view of all portfolios. Weighted beta, net factor exposures, gross and net notional, and hedge ratio across the entire firm. No trades are executed at this level; it is a read-only analytical overlay. This is the CIO dashboard.</w:t>
      </w:r>
    </w:p>
    <w:p>
      <w:pPr>
        <w:spacing w:before="60" w:after="60"/>
      </w:pPr>
      <w:r>
        <w:rPr>
          <w:rFonts w:ascii="Arial" w:cs="Arial" w:eastAsia="Arial" w:hAnsi="Arial"/>
          <w:b/>
          <w:color w:val="1F2937"/>
          <w:sz w:val="20"/>
          <w:szCs w:val="20"/>
        </w:rPr>
        <w:t xml:space="preserve">Portfolio Level</w:t>
      </w:r>
      <w:r>
        <w:rPr>
          <w:rFonts w:ascii="Arial" w:cs="Arial" w:eastAsia="Arial" w:hAnsi="Arial"/>
          <w:color w:val="4B5563"/>
          <w:sz w:val="20"/>
          <w:szCs w:val="20"/>
        </w:rPr>
        <w:t xml:space="preserve"> — A named strategy sleeve or managed account. Has its own beta target (default 0.00), factor limits, position list, hedge book, and optimization schedule. Example portfolios: Main Fund, Co-Investment Vehicle A, Separately Managed Account — Pension X.</w:t>
      </w:r>
    </w:p>
    <w:p>
      <w:pPr>
        <w:spacing w:before="60" w:after="100"/>
      </w:pPr>
      <w:r>
        <w:rPr>
          <w:rFonts w:ascii="Arial" w:cs="Arial" w:eastAsia="Arial" w:hAnsi="Arial"/>
          <w:b/>
          <w:color w:val="1F2937"/>
          <w:sz w:val="20"/>
          <w:szCs w:val="20"/>
        </w:rPr>
        <w:t xml:space="preserve">Position Level</w:t>
      </w:r>
      <w:r>
        <w:rPr>
          <w:rFonts w:ascii="Arial" w:cs="Arial" w:eastAsia="Arial" w:hAnsi="Arial"/>
          <w:color w:val="4B5563"/>
          <w:sz w:val="20"/>
          <w:szCs w:val="20"/>
        </w:rPr>
        <w:t xml:space="preserve"> — Individual long or short positions within a portfolio. Each position carries ticker, notional, beta estimate (method-specific), forward beta override, sector tag, and catalyst flag. A position can appear in multiple portfolios with different notional sizes — the beta engine runs per-portfolio, not per-ticker.</w:t>
      </w:r>
    </w:p>
    <w:p>
      <w:pPr>
        <w:pStyle w:val="Heading2"/>
        <w:spacing w:before="200" w:after="80"/>
      </w:pPr>
      <w:r>
        <w:rPr>
          <w:rFonts w:ascii="Arial" w:cs="Arial" w:eastAsia="Arial" w:hAnsi="Arial"/>
          <w:b/>
          <w:bCs/>
          <w:color w:val="1A56A0"/>
          <w:sz w:val="24"/>
          <w:szCs w:val="24"/>
        </w:rPr>
        <w:t xml:space="preserve">Aggregation Logic — Book of Books</w:t>
      </w:r>
    </w:p>
    <w:p>
      <w:pPr>
        <w:spacing w:before="60" w:after="100"/>
      </w:pPr>
      <w:r>
        <w:rPr>
          <w:rFonts w:ascii="Arial" w:cs="Arial" w:eastAsia="Arial" w:hAnsi="Arial"/>
          <w:color w:val="1F2937"/>
          <w:sz w:val="20"/>
          <w:szCs w:val="20"/>
        </w:rPr>
        <w:t xml:space="preserve">The firm-level view is not a simple sum of portfolio views. It is a notional-weighted aggregation with careful handling of netting, cross-portfolio positions, and shared hedge instruments. The following rules govern aggregation.</w:t>
      </w:r>
    </w:p>
    <w:p>
      <w:pPr>
        <w:spacing w:before="60" w:after="60"/>
      </w:pPr>
      <w:r>
        <w:rPr>
          <w:rFonts w:ascii="Arial" w:cs="Arial" w:eastAsia="Arial" w:hAnsi="Arial"/>
          <w:b/>
          <w:color w:val="1F2937"/>
          <w:sz w:val="20"/>
          <w:szCs w:val="20"/>
        </w:rPr>
        <w:t xml:space="preserve">Net Beta (Firm)</w:t>
      </w:r>
      <w:r>
        <w:rPr>
          <w:rFonts w:ascii="Arial" w:cs="Arial" w:eastAsia="Arial" w:hAnsi="Arial"/>
          <w:color w:val="4B5563"/>
          <w:sz w:val="20"/>
          <w:szCs w:val="20"/>
        </w:rPr>
        <w:t xml:space="preserve"> — Computed as the sum of dollar beta across all portfolios divided by total long notional across all portfolios. This is the true firm-level market sensitivity, accounting for all hedge positions regardless of which portfolio they live in. Formula: β_firm = ∑(N_i × β_i) / ∑N_long where i indexes every position across every portfolio.</w:t>
      </w:r>
    </w:p>
    <w:p>
      <w:pPr>
        <w:spacing w:before="60" w:after="60"/>
      </w:pPr>
      <w:r>
        <w:rPr>
          <w:rFonts w:ascii="Arial" w:cs="Arial" w:eastAsia="Arial" w:hAnsi="Arial"/>
          <w:b/>
          <w:color w:val="1F2937"/>
          <w:sz w:val="20"/>
          <w:szCs w:val="20"/>
        </w:rPr>
        <w:t xml:space="preserve">Factor Exposure (Firm)</w:t>
      </w:r>
      <w:r>
        <w:rPr>
          <w:rFonts w:ascii="Arial" w:cs="Arial" w:eastAsia="Arial" w:hAnsi="Arial"/>
          <w:color w:val="4B5563"/>
          <w:sz w:val="20"/>
          <w:szCs w:val="20"/>
        </w:rPr>
        <w:t xml:space="preserve"> — Each factor exposure (Market, Size, Value, Momentum, Sector) is aggregated as a notional-weighted average across portfolios. Factor limits at the firm level may be set independently from per-portfolio limits — they are typically wider, recognising that portfolio-level offsetting reduces firm-level risk.</w:t>
      </w:r>
    </w:p>
    <w:p>
      <w:pPr>
        <w:spacing w:before="60" w:after="60"/>
      </w:pPr>
      <w:r>
        <w:rPr>
          <w:rFonts w:ascii="Arial" w:cs="Arial" w:eastAsia="Arial" w:hAnsi="Arial"/>
          <w:b/>
          <w:color w:val="1F2937"/>
          <w:sz w:val="20"/>
          <w:szCs w:val="20"/>
        </w:rPr>
        <w:t xml:space="preserve">Cross-Portfolio Netting</w:t>
      </w:r>
      <w:r>
        <w:rPr>
          <w:rFonts w:ascii="Arial" w:cs="Arial" w:eastAsia="Arial" w:hAnsi="Arial"/>
          <w:color w:val="4B5563"/>
          <w:sz w:val="20"/>
          <w:szCs w:val="20"/>
        </w:rPr>
        <w:t xml:space="preserve"> — If Portfolio A is long AAPL and Portfolio B is short AAPL (for a specific hedge), the firm-level view nets these exposures. The system tracks same-ticker cross-portfolio positions explicitly, flags them in the Book of Books UI, and reports the net economic exposure. This matters for regulatory reporting and for understanding true firm concentration risk.</w:t>
      </w:r>
    </w:p>
    <w:p>
      <w:pPr>
        <w:spacing w:before="60" w:after="100"/>
      </w:pPr>
      <w:r>
        <w:rPr>
          <w:rFonts w:ascii="Arial" w:cs="Arial" w:eastAsia="Arial" w:hAnsi="Arial"/>
          <w:b/>
          <w:color w:val="1F2937"/>
          <w:sz w:val="20"/>
          <w:szCs w:val="20"/>
        </w:rPr>
        <w:t xml:space="preserve">Shared Hedge Instruments</w:t>
      </w:r>
      <w:r>
        <w:rPr>
          <w:rFonts w:ascii="Arial" w:cs="Arial" w:eastAsia="Arial" w:hAnsi="Arial"/>
          <w:color w:val="4B5563"/>
          <w:sz w:val="20"/>
          <w:szCs w:val="20"/>
        </w:rPr>
        <w:t xml:space="preserve"> — Common hedging instruments (SPY, IWM, sector ETFs) will appear in multiple portfolio short books. The aggregated view sums these correctly without double-counting. Hedge attribution shows which portfolios are contributing what share of each hedging position, useful for prime broker communication and cost allocation.</w:t>
      </w:r>
    </w:p>
    <w:p>
      <w:pPr>
        <w:pStyle w:val="Heading2"/>
        <w:spacing w:before="200" w:after="80"/>
      </w:pPr>
      <w:r>
        <w:rPr>
          <w:rFonts w:ascii="Arial" w:cs="Arial" w:eastAsia="Arial" w:hAnsi="Arial"/>
          <w:b/>
          <w:bCs/>
          <w:color w:val="1A56A0"/>
          <w:sz w:val="24"/>
          <w:szCs w:val="24"/>
        </w:rPr>
        <w:t xml:space="preserve">Book of Books Dashboard</w:t>
      </w:r>
    </w:p>
    <w:p>
      <w:pPr>
        <w:spacing w:before="60" w:after="100"/>
      </w:pPr>
      <w:r>
        <w:rPr>
          <w:rFonts w:ascii="Arial" w:cs="Arial" w:eastAsia="Arial" w:hAnsi="Arial"/>
          <w:color w:val="1F2937"/>
          <w:sz w:val="20"/>
          <w:szCs w:val="20"/>
        </w:rPr>
        <w:t xml:space="preserve">The Book of Books is a dedicated top-level view in the Neptune UI. It is the default landing page for the CIO role. It presents firm-wide risk at a glance, with drill-down into individual portfolios. The dashboard has two layers.</w:t>
      </w:r>
    </w:p>
    <w:p>
      <w:pPr>
        <w:spacing w:before="60" w:after="60"/>
      </w:pPr>
      <w:r>
        <w:rPr>
          <w:rFonts w:ascii="Arial" w:cs="Arial" w:eastAsia="Arial" w:hAnsi="Arial"/>
          <w:b/>
          <w:color w:val="1F2937"/>
          <w:sz w:val="20"/>
          <w:szCs w:val="20"/>
        </w:rPr>
        <w:t xml:space="preserve">Firm Summary Strip</w:t>
      </w:r>
      <w:r>
        <w:rPr>
          <w:rFonts w:ascii="Arial" w:cs="Arial" w:eastAsia="Arial" w:hAnsi="Arial"/>
          <w:color w:val="4B5563"/>
          <w:sz w:val="20"/>
          <w:szCs w:val="20"/>
        </w:rPr>
        <w:t xml:space="preserve"> — Persistent header row showing: Firm Net Beta, Firm Gross Exposure, Total Long AUM, Total Short AUM, number of active portfolios, and number of active risk alerts across all portfolios. Color-coded beta status (green / amber / red) matches the per-portfolio convention but reflects the aggregate position.</w:t>
      </w:r>
    </w:p>
    <w:p>
      <w:pPr>
        <w:spacing w:before="60" w:after="100"/>
      </w:pPr>
      <w:r>
        <w:rPr>
          <w:rFonts w:ascii="Arial" w:cs="Arial" w:eastAsia="Arial" w:hAnsi="Arial"/>
          <w:b/>
          <w:color w:val="1F2937"/>
          <w:sz w:val="20"/>
          <w:szCs w:val="20"/>
        </w:rPr>
        <w:t xml:space="preserve">Portfolio Matrix</w:t>
      </w:r>
      <w:r>
        <w:rPr>
          <w:rFonts w:ascii="Arial" w:cs="Arial" w:eastAsia="Arial" w:hAnsi="Arial"/>
          <w:color w:val="4B5563"/>
          <w:sz w:val="20"/>
          <w:szCs w:val="20"/>
        </w:rPr>
        <w:t xml:space="preserve"> — A table listing every portfolio as a row, with columns for: Net Beta, Beta Status, Long Notional, Short Notional, Hedge Ratio, and five factor exposures (Market, Size, Value, Momentum, Sector). Each cell is color-coded. Clicking any row expands to the full single-portfolio dashboard. The matrix makes it immediately obvious if one portfolio is offsetting another, or if a specific factor is building across multiple sleeves simultaneously.</w:t>
      </w:r>
    </w:p>
    <w:p>
      <w:pPr>
        <w:pStyle w:val="Heading2"/>
        <w:spacing w:before="200" w:after="80"/>
      </w:pPr>
      <w:r>
        <w:rPr>
          <w:rFonts w:ascii="Arial" w:cs="Arial" w:eastAsia="Arial" w:hAnsi="Arial"/>
          <w:b/>
          <w:bCs/>
          <w:color w:val="1A56A0"/>
          <w:sz w:val="24"/>
          <w:szCs w:val="24"/>
        </w:rPr>
        <w:t xml:space="preserve">Per-Portfolio Configuration</w:t>
      </w:r>
    </w:p>
    <w:p>
      <w:pPr>
        <w:spacing w:before="60" w:after="100"/>
      </w:pPr>
      <w:r>
        <w:rPr>
          <w:rFonts w:ascii="Arial" w:cs="Arial" w:eastAsia="Arial" w:hAnsi="Arial"/>
          <w:color w:val="1F2937"/>
          <w:sz w:val="20"/>
          <w:szCs w:val="20"/>
        </w:rPr>
        <w:t xml:space="preserve">Each portfolio carries an independent configuration object that governs how Neptune treats it. These settings are stored in the database and editable through the Portfolio Settings UI (admin-only access).</w:t>
      </w:r>
    </w:p>
    <w:p>
      <w:pPr>
        <w:spacing w:before="60" w:after="60"/>
      </w:pPr>
      <w:r>
        <w:rPr>
          <w:rFonts w:ascii="Arial" w:cs="Arial" w:eastAsia="Arial" w:hAnsi="Arial"/>
          <w:b/>
          <w:color w:val="1F2937"/>
          <w:sz w:val="20"/>
          <w:szCs w:val="20"/>
        </w:rPr>
        <w:t xml:space="preserve">Beta Target</w:t>
      </w:r>
      <w:r>
        <w:rPr>
          <w:rFonts w:ascii="Arial" w:cs="Arial" w:eastAsia="Arial" w:hAnsi="Arial"/>
          <w:color w:val="4B5563"/>
          <w:sz w:val="20"/>
          <w:szCs w:val="20"/>
        </w:rPr>
        <w:t xml:space="preserve"> — Default is 0.00 (market neutral). Can be set to a non-zero target for portfolios with a deliberate directional bias. Tolerance band is configurable per portfolio; default ±0.050.</w:t>
      </w:r>
    </w:p>
    <w:p>
      <w:pPr>
        <w:spacing w:before="60" w:after="60"/>
      </w:pPr>
      <w:r>
        <w:rPr>
          <w:rFonts w:ascii="Arial" w:cs="Arial" w:eastAsia="Arial" w:hAnsi="Arial"/>
          <w:b/>
          <w:color w:val="1F2937"/>
          <w:sz w:val="20"/>
          <w:szCs w:val="20"/>
        </w:rPr>
        <w:t xml:space="preserve">Factor Limits</w:t>
      </w:r>
      <w:r>
        <w:rPr>
          <w:rFonts w:ascii="Arial" w:cs="Arial" w:eastAsia="Arial" w:hAnsi="Arial"/>
          <w:color w:val="4B5563"/>
          <w:sz w:val="20"/>
          <w:szCs w:val="20"/>
        </w:rPr>
        <w:t xml:space="preserve"> — Each of the five factor exposures has an independent limit per portfolio. A co-investment vehicle concentrated in industrials may have a wider Sector limit than the main fund. Limits are stored separately from the firm-level limits used in the Book of Books.</w:t>
      </w:r>
    </w:p>
    <w:p>
      <w:pPr>
        <w:spacing w:before="60" w:after="60"/>
      </w:pPr>
      <w:r>
        <w:rPr>
          <w:rFonts w:ascii="Arial" w:cs="Arial" w:eastAsia="Arial" w:hAnsi="Arial"/>
          <w:b/>
          <w:color w:val="1F2937"/>
          <w:sz w:val="20"/>
          <w:szCs w:val="20"/>
        </w:rPr>
        <w:t xml:space="preserve">Optimization Schedule</w:t>
      </w:r>
      <w:r>
        <w:rPr>
          <w:rFonts w:ascii="Arial" w:cs="Arial" w:eastAsia="Arial" w:hAnsi="Arial"/>
          <w:color w:val="4B5563"/>
          <w:sz w:val="20"/>
          <w:szCs w:val="20"/>
        </w:rPr>
        <w:t xml:space="preserve"> — Portfolios can run on independent rebalancing schedules. A daily-managed sleeve runs the full optimizer at EOD. A quarterly-reviewed co-investment vehicle may run the optimizer weekly. Schedules are configured in Celery and respected by the API layer.</w:t>
      </w:r>
    </w:p>
    <w:p>
      <w:pPr>
        <w:spacing w:before="60" w:after="100"/>
      </w:pPr>
      <w:r>
        <w:rPr>
          <w:rFonts w:ascii="Arial" w:cs="Arial" w:eastAsia="Arial" w:hAnsi="Arial"/>
          <w:b/>
          <w:color w:val="1F2937"/>
          <w:sz w:val="20"/>
          <w:szCs w:val="20"/>
        </w:rPr>
        <w:t xml:space="preserve">Currency and Benchmark</w:t>
      </w:r>
      <w:r>
        <w:rPr>
          <w:rFonts w:ascii="Arial" w:cs="Arial" w:eastAsia="Arial" w:hAnsi="Arial"/>
          <w:color w:val="4B5563"/>
          <w:sz w:val="20"/>
          <w:szCs w:val="20"/>
        </w:rPr>
        <w:t xml:space="preserve"> — Each portfolio specifies its base currency (default USD) and market benchmark (default SPY). Portfolios with international holdings will require FX-adjusted beta calculations. This is a Phase 2+ feature; initial build assumes USD-denominated US equities only.</w:t>
      </w:r>
    </w:p>
    <w:p>
      <w:pPr>
        <w:pStyle w:val="Heading2"/>
        <w:spacing w:before="200" w:after="80"/>
      </w:pPr>
      <w:r>
        <w:rPr>
          <w:rFonts w:ascii="Arial" w:cs="Arial" w:eastAsia="Arial" w:hAnsi="Arial"/>
          <w:b/>
          <w:bCs/>
          <w:color w:val="1A56A0"/>
          <w:sz w:val="24"/>
          <w:szCs w:val="24"/>
        </w:rPr>
        <w:t xml:space="preserve">Database Schema Changes</w:t>
      </w:r>
    </w:p>
    <w:p>
      <w:pPr>
        <w:spacing w:before="60" w:after="100"/>
      </w:pPr>
      <w:r>
        <w:rPr>
          <w:rFonts w:ascii="Arial" w:cs="Arial" w:eastAsia="Arial" w:hAnsi="Arial"/>
          <w:color w:val="1F2937"/>
          <w:sz w:val="20"/>
          <w:szCs w:val="20"/>
        </w:rPr>
        <w:t xml:space="preserve">The existing schema (positions, beta_estimates, factor_exposures, hedge_recommendations) gains a portfolio_id foreign key on every table. A new portfolios table stores configuration. A new firm_snapshots table stores pre-computed firm-level aggregations on a scheduled basis. All existing single-portfolio API endpoints remain valid; new /firm/ endpoints expose the aggregated view.</w:t>
      </w:r>
    </w:p>
    <w:p>
      <w:pPr>
        <w:spacing w:before="60" w:after="60"/>
      </w:pPr>
      <w:r>
        <w:rPr>
          <w:rFonts w:ascii="Arial" w:cs="Arial" w:eastAsia="Arial" w:hAnsi="Arial"/>
          <w:b/>
          <w:rFonts w:ascii="Courier New" w:cs="Courier New" w:eastAsia="Courier New" w:hAnsi="Courier New"/>
          <w:color w:val="1F2937"/>
          <w:sz w:val="18"/>
          <w:szCs w:val="18"/>
        </w:rPr>
        <w:t xml:space="preserve">portfolios</w:t>
      </w:r>
      <w:r>
        <w:rPr>
          <w:rFonts w:ascii="Arial" w:cs="Arial" w:eastAsia="Arial" w:hAnsi="Arial"/>
          <w:color w:val="4B5563"/>
          <w:sz w:val="20"/>
          <w:szCs w:val="20"/>
        </w:rPr>
        <w:t xml:space="preserve"> — id, name, description, beta_target, beta_tolerance, factor_limits (JSON), benchmark_ticker, base_currency, rebalance_schedule, created_at, is_active</w:t>
      </w:r>
    </w:p>
    <w:p>
      <w:pPr>
        <w:spacing w:before="60" w:after="60"/>
      </w:pPr>
      <w:r>
        <w:rPr>
          <w:rFonts w:ascii="Arial" w:cs="Arial" w:eastAsia="Arial" w:hAnsi="Arial"/>
          <w:b/>
          <w:rFonts w:ascii="Courier New" w:cs="Courier New" w:eastAsia="Courier New" w:hAnsi="Courier New"/>
          <w:color w:val="1F2937"/>
          <w:sz w:val="18"/>
          <w:szCs w:val="18"/>
        </w:rPr>
        <w:t xml:space="preserve">positions</w:t>
      </w:r>
      <w:r>
        <w:rPr>
          <w:rFonts w:ascii="Arial" w:cs="Arial" w:eastAsia="Arial" w:hAnsi="Arial"/>
          <w:color w:val="4B5563"/>
          <w:sz w:val="20"/>
          <w:szCs w:val="20"/>
        </w:rPr>
        <w:t xml:space="preserve"> — adds portfolio_id (FK → portfolios.id), indexed. All existing fields retained.</w:t>
      </w:r>
    </w:p>
    <w:p>
      <w:pPr>
        <w:spacing w:before="60" w:after="60"/>
      </w:pPr>
      <w:r>
        <w:rPr>
          <w:rFonts w:ascii="Arial" w:cs="Arial" w:eastAsia="Arial" w:hAnsi="Arial"/>
          <w:b/>
          <w:rFonts w:ascii="Courier New" w:cs="Courier New" w:eastAsia="Courier New" w:hAnsi="Courier New"/>
          <w:color w:val="1F2937"/>
          <w:sz w:val="18"/>
          <w:szCs w:val="18"/>
        </w:rPr>
        <w:t xml:space="preserve">firm_snapshots</w:t>
      </w:r>
      <w:r>
        <w:rPr>
          <w:rFonts w:ascii="Arial" w:cs="Arial" w:eastAsia="Arial" w:hAnsi="Arial"/>
          <w:color w:val="4B5563"/>
          <w:sz w:val="20"/>
          <w:szCs w:val="20"/>
        </w:rPr>
        <w:t xml:space="preserve"> — snapshot_at, firm_net_beta, firm_gross_exposure, firm_long_notional, firm_short_notional, factor_exposures (JSON), portfolio_count, active_alerts, computed_by</w:t>
      </w:r>
    </w:p>
    <w:p>
      <w:pPr>
        <w:spacing w:before="60" w:after="100"/>
      </w:pPr>
      <w:r>
        <w:rPr>
          <w:rFonts w:ascii="Arial" w:cs="Arial" w:eastAsia="Arial" w:hAnsi="Arial"/>
          <w:b/>
          <w:rFonts w:ascii="Courier New" w:cs="Courier New" w:eastAsia="Courier New" w:hAnsi="Courier New"/>
          <w:color w:val="1F2937"/>
          <w:sz w:val="18"/>
          <w:szCs w:val="18"/>
        </w:rPr>
        <w:t xml:space="preserve">cross_portfolio_positions</w:t>
      </w:r>
      <w:r>
        <w:rPr>
          <w:rFonts w:ascii="Arial" w:cs="Arial" w:eastAsia="Arial" w:hAnsi="Arial"/>
          <w:color w:val="4B5563"/>
          <w:sz w:val="20"/>
          <w:szCs w:val="20"/>
        </w:rPr>
        <w:t xml:space="preserve"> — Materialised view identifying tickers that appear in multiple portfolios. Used by the aggregation engine and the Book of Books UI to flag netting opportunities and concentration risk.</w:t>
      </w:r>
    </w:p>
    <w:p>
      <w:pPr>
        <w:pStyle w:val="Heading2"/>
        <w:spacing w:before="200" w:after="80"/>
      </w:pPr>
      <w:r>
        <w:rPr>
          <w:rFonts w:ascii="Arial" w:cs="Arial" w:eastAsia="Arial" w:hAnsi="Arial"/>
          <w:b/>
          <w:bCs/>
          <w:color w:val="1A56A0"/>
          <w:sz w:val="24"/>
          <w:szCs w:val="24"/>
        </w:rPr>
        <w:t xml:space="preserve">Build Phasing</w:t>
      </w:r>
    </w:p>
    <w:p>
      <w:pPr>
        <w:spacing w:before="60" w:after="60"/>
      </w:pPr>
      <w:r>
        <w:rPr>
          <w:rFonts w:ascii="Arial" w:cs="Arial" w:eastAsia="Arial" w:hAnsi="Arial"/>
          <w:b/>
          <w:color w:val="1F2937"/>
          <w:sz w:val="20"/>
          <w:szCs w:val="20"/>
        </w:rPr>
        <w:t xml:space="preserve">Phase 1 — Single portfolio (current plan)</w:t>
      </w:r>
      <w:r>
        <w:rPr>
          <w:rFonts w:ascii="Arial" w:cs="Arial" w:eastAsia="Arial" w:hAnsi="Arial"/>
          <w:color w:val="4B5563"/>
          <w:sz w:val="20"/>
          <w:szCs w:val="20"/>
        </w:rPr>
        <w:t xml:space="preserve"> — All Phase 1–3 work proceeds as specified. However, the database schema is built with portfolio_id from day one. The first portfolio is seeded as “Main Fund.” This ensures no migration pain when multi-portfolio support is activated.</w:t>
      </w:r>
    </w:p>
    <w:p>
      <w:pPr>
        <w:spacing w:before="60" w:after="60"/>
      </w:pPr>
      <w:r>
        <w:rPr>
          <w:rFonts w:ascii="Arial" w:cs="Arial" w:eastAsia="Arial" w:hAnsi="Arial"/>
          <w:b/>
          <w:color w:val="1F2937"/>
          <w:sz w:val="20"/>
          <w:szCs w:val="20"/>
        </w:rPr>
        <w:t xml:space="preserve">Phase 4 — Multi-portfolio unlock (Weeks 17–20)</w:t>
      </w:r>
      <w:r>
        <w:rPr>
          <w:rFonts w:ascii="Arial" w:cs="Arial" w:eastAsia="Arial" w:hAnsi="Arial"/>
          <w:color w:val="4B5563"/>
          <w:sz w:val="20"/>
          <w:szCs w:val="20"/>
        </w:rPr>
        <w:t xml:space="preserve"> — Portfolio management UI added to the admin panel. Second portfolio can be created and configured. Both portfolios run through the full beta engine and optimizer independently. No aggregated view yet.</w:t>
      </w:r>
    </w:p>
    <w:p>
      <w:pPr>
        <w:spacing w:before="60" w:after="100"/>
      </w:pPr>
      <w:r>
        <w:rPr>
          <w:rFonts w:ascii="Arial" w:cs="Arial" w:eastAsia="Arial" w:hAnsi="Arial"/>
          <w:b/>
          <w:color w:val="1F2937"/>
          <w:sz w:val="20"/>
          <w:szCs w:val="20"/>
        </w:rPr>
        <w:t xml:space="preserve">Phase 5 — Book of Books (Weeks 21–24)</w:t>
      </w:r>
      <w:r>
        <w:rPr>
          <w:rFonts w:ascii="Arial" w:cs="Arial" w:eastAsia="Arial" w:hAnsi="Arial"/>
          <w:color w:val="4B5563"/>
          <w:sz w:val="20"/>
          <w:szCs w:val="20"/>
        </w:rPr>
        <w:t xml:space="preserve"> — Aggregation engine built. firm_snapshots table activated. Book of Books dashboard UI built. Cross-portfolio netting logic deployed. CIO role created with Book of Books as default landing page. Per-portfolio drill-down from the matrix view enabled.</w:t>
      </w:r>
    </w:p>
    <w:p>
      <w:pPr>
        <w:spacing w:before="120" w:after="60"/>
      </w:pPr>
    </w:p>
    <w:p>
      <w:pPr>
        <w:pStyle w:val="Heading1"/>
        <w:spacing w:before="60" w:after="160"/>
      </w:pPr>
      <w:r>
        <w:rPr>
          <w:rFonts w:ascii="Arial" w:cs="Arial" w:eastAsia="Arial" w:hAnsi="Arial"/>
          <w:b/>
          <w:bCs/>
          <w:color w:val="0D3B6E"/>
          <w:sz w:val="36"/>
          <w:szCs w:val="36"/>
        </w:rPr>
        <w:t xml:space="preserve">Closing Note</w:t>
      </w:r>
    </w:p>
    <w:p>
      <w:pPr>
        <w:pBdr>
          <w:bottom w:val="single" w:color="1A56A0" w:sz="8" w:space="1"/>
        </w:pBdr>
        <w:spacing w:before="60" w:after="60"/>
      </w:pPr>
    </w:p>
    <w:p>
      <w:pPr>
        <w:spacing w:before="100" w:after="60"/>
      </w:pPr>
    </w:p>
    <w:p>
      <w:pPr>
        <w:spacing w:before="60" w:after="100"/>
      </w:pPr>
      <w:r>
        <w:rPr>
          <w:rFonts w:ascii="Arial" w:cs="Arial" w:eastAsia="Arial" w:hAnsi="Arial"/>
          <w:b w:val="false"/>
          <w:bCs w:val="false"/>
          <w:i w:val="false"/>
          <w:iCs w:val="false"/>
          <w:color w:val="1F2937"/>
          <w:sz w:val="20"/>
          <w:szCs w:val="20"/>
        </w:rPr>
        <w:t xml:space="preserve">Neptune represents a meaningful commitment to the proposition that activism and quantitative rigor are not in tension — they are complementary. The best activist funds of the next decade will be those that maintain the irreplaceable human judgment at the core of what makes activism work, while surrounding that judgment with infrastructure that was previously available only to systematic funds with nine-figure technology budgets.</w:t>
      </w:r>
    </w:p>
    <w:p>
      <w:pPr>
        <w:spacing w:before="80" w:after="60"/>
      </w:pPr>
    </w:p>
    <w:p>
      <w:pPr>
        <w:spacing w:before="60" w:after="100"/>
      </w:pPr>
      <w:r>
        <w:rPr>
          <w:rFonts w:ascii="Arial" w:cs="Arial" w:eastAsia="Arial" w:hAnsi="Arial"/>
          <w:b w:val="false"/>
          <w:bCs w:val="false"/>
          <w:i w:val="false"/>
          <w:iCs w:val="false"/>
          <w:color w:val="1F2937"/>
          <w:sz w:val="20"/>
          <w:szCs w:val="20"/>
        </w:rPr>
        <w:t xml:space="preserve">This document defines the first version of that infrastructure for Iridium Capital Management. It is a living specification — it will evolve as the platform is built, as the investment process generates new requirements, and as the quantitative landscape continues to advance.</w:t>
      </w:r>
    </w:p>
    <w:p>
      <w:pPr>
        <w:spacing w:before="80" w:after="60"/>
      </w:pPr>
    </w:p>
    <w:p>
      <w:pPr>
        <w:spacing w:before="60" w:after="100"/>
      </w:pPr>
      <w:r>
        <w:rPr>
          <w:rFonts w:ascii="Arial" w:cs="Arial" w:eastAsia="Arial" w:hAnsi="Arial"/>
          <w:b w:val="false"/>
          <w:bCs w:val="false"/>
          <w:i/>
          <w:iCs/>
          <w:color w:val="1A56A0"/>
          <w:sz w:val="20"/>
          <w:szCs w:val="20"/>
        </w:rPr>
        <w:t xml:space="preserve">Neptune does not make investment decisions. It makes investment decisions better.</w:t>
      </w:r>
    </w:p>
    <w:p>
      <w:pPr>
        <w:spacing w:before="160" w:after="60"/>
      </w:pPr>
    </w:p>
    <w:p>
      <w:pPr>
        <w:pBdr>
          <w:bottom w:val="single" w:color="CBD5E1" w:sz="4" w:space="1"/>
        </w:pBdr>
        <w:spacing w:before="60" w:after="60"/>
      </w:pPr>
    </w:p>
    <w:p>
      <w:pPr>
        <w:spacing w:before="60" w:after="60"/>
      </w:pPr>
    </w:p>
    <w:p>
      <w:pPr>
        <w:jc w:val="center"/>
      </w:pPr>
      <w:r>
        <w:rPr>
          <w:rFonts w:ascii="Arial" w:cs="Arial" w:eastAsia="Arial" w:hAnsi="Arial"/>
          <w:i/>
          <w:iCs/>
          <w:color w:val="9CA3AF"/>
          <w:sz w:val="16"/>
          <w:szCs w:val="16"/>
        </w:rPr>
        <w:t xml:space="preserve">NEPTUNE  ·  Iridium Capital Management  ·  Confidential  ·  March 2026</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360"/>
      </w:tabs>
      <w:spacing w:before="100" w:after="0"/>
    </w:pPr>
    <w:r>
      <w:rPr>
        <w:rFonts w:ascii="Arial" w:cs="Arial" w:eastAsia="Arial" w:hAnsi="Arial"/>
        <w:color w:val="9CA3AF"/>
        <w:sz w:val="16"/>
        <w:szCs w:val="16"/>
      </w:rPr>
      <w:t xml:space="preserve">Neptune Product Roadmap  ·  March 2026</w:t>
    </w:r>
    <w:r>
      <w:rPr>
        <w:rFonts w:ascii="Arial" w:cs="Arial" w:eastAsia="Arial" w:hAnsi="Arial"/>
        <w:sz w:val="16"/>
        <w:szCs w:val="16"/>
      </w:rPr>
      <w:t xml:space="preserve">	</w:t>
    </w:r>
    <w:r>
      <w:rPr>
        <w:rFonts w:ascii="Arial" w:cs="Arial" w:eastAsia="Arial" w:hAnsi="Arial"/>
        <w:color w:val="9CA3AF"/>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1"/>
      </w:pBdr>
      <w:tabs>
        <w:tab w:val="right" w:pos="9360"/>
      </w:tabs>
      <w:spacing w:before="0" w:after="120"/>
    </w:pPr>
    <w:r>
      <w:rPr>
        <w:rFonts w:ascii="Arial" w:cs="Arial" w:eastAsia="Arial" w:hAnsi="Arial"/>
        <w:b/>
        <w:bCs/>
        <w:color w:val="1A56A0"/>
        <w:sz w:val="16"/>
        <w:szCs w:val="16"/>
      </w:rPr>
      <w:t xml:space="preserve">NEPTUNE  ·  Risk Intelligence Platform</w:t>
    </w:r>
    <w:r>
      <w:rPr>
        <w:rFonts w:ascii="Arial" w:cs="Arial" w:eastAsia="Arial" w:hAnsi="Arial"/>
        <w:sz w:val="16"/>
        <w:szCs w:val="16"/>
      </w:rPr>
      <w:t xml:space="preserve">	</w:t>
    </w:r>
    <w:r>
      <w:rPr>
        <w:rFonts w:ascii="Arial" w:cs="Arial" w:eastAsia="Arial" w:hAnsi="Arial"/>
        <w:color w:val="9CA3AF"/>
        <w:sz w:val="16"/>
        <w:szCs w:val="16"/>
      </w:rPr>
      <w:t xml:space="preserve">CONFIDENTIAL  ·  Iridium Capital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 w:after="160"/>
      <w:outlineLvl w:val="0"/>
    </w:pPr>
    <w:rPr>
      <w:rFonts w:ascii="Arial" w:cs="Arial" w:eastAsia="Arial" w:hAnsi="Arial"/>
      <w:b/>
      <w:bCs/>
      <w:color w:val="0D3B6E"/>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1A56A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2026-03-11T03:56:09.050Z</dcterms:created>
  <dcterms:modified xsi:type="dcterms:W3CDTF">2026-03-11T03:56:09.051Z</dcterms:modified>
</cp:coreProperties>
</file>

<file path=docProps/custom.xml><?xml version="1.0" encoding="utf-8"?>
<Properties xmlns="http://schemas.openxmlformats.org/officeDocument/2006/custom-properties" xmlns:vt="http://schemas.openxmlformats.org/officeDocument/2006/docPropsVTypes"/>
</file>