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5.png" ContentType="image/png"/>
  <Override PartName="/word/media/rId47.png" ContentType="image/png"/>
  <Override PartName="/word/media/rId49.png" ContentType="image/png"/>
  <Override PartName="/word/media/rId50.png" ContentType="image/png"/>
  <Override PartName="/word/media/rId36.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w:t>
      </w:r>
      <w:r>
        <w:t xml:space="preserve"> </w:t>
      </w:r>
      <w:r>
        <w:rPr>
          <w:b/>
        </w:rPr>
        <w:t xml:space="preserve">community scale</w:t>
      </w:r>
      <w:r>
        <w:t xml:space="preserve">, changes in the relationship between size and abundance tells us about important functional shifts. 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either decouple N from E for terrestrial animals</w:t>
      </w:r>
      <w:r>
        <w:t xml:space="preserve"> </w:t>
      </w:r>
      <w:r>
        <w:t xml:space="preserve">(White et al. 2004, Yen et al. 2017)</w:t>
      </w:r>
      <w:r>
        <w:t xml:space="preserve">, but not always</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 [</w:t>
      </w:r>
      <w:r>
        <w:t xml:space="preserve">White et al. (2007)</w:t>
      </w:r>
      <w:r>
        <w:t xml:space="preserve">; this is a nod to a few studies looking at the size structure</w:t>
      </w:r>
      <w:r>
        <w:t xml:space="preserve"> </w:t>
      </w:r>
      <w:r>
        <w:rPr>
          <w:i/>
        </w:rPr>
        <w:t xml:space="preserve">across britain</w:t>
      </w:r>
      <w:r>
        <w:t xml:space="preserve"> </w:t>
      </w:r>
      <w:r>
        <w:t xml:space="preserve">or something].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how these ISDs behave over time or 2) the extent to which changes in the ISD decouple the community-level dynamics of abundance, biomass, and energy use in these systems.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3) To what extent do changes in the ISD translate into decoupling between abundance and function?</w:t>
      </w:r>
    </w:p>
    <w:p>
      <w:r>
        <w:br w:type="page"/>
      </w:r>
    </w:p>
    <w:p>
      <w:pPr>
        <w:pStyle w:val="Heading1"/>
      </w:pPr>
      <w:bookmarkStart w:id="21" w:name="methods"/>
      <w:r>
        <w:t xml:space="preserve">Methods</w:t>
      </w:r>
      <w:bookmarkEnd w:id="21"/>
    </w:p>
    <w:p>
      <w:pPr>
        <w:pStyle w:val="Heading2"/>
      </w:pPr>
      <w:bookmarkStart w:id="22" w:name="bird-abundance-data"/>
      <w:r>
        <w:t xml:space="preserve">Bird abundance data</w:t>
      </w:r>
      <w:bookmarkEnd w:id="22"/>
    </w:p>
    <w:p>
      <w:pPr>
        <w:pStyle w:val="FirstParagraph"/>
      </w:pPr>
      <w:r>
        <w:t xml:space="preserve">We used data from the Breeding Bird Survey</w:t>
      </w:r>
      <w:r>
        <w:t xml:space="preserve"> </w:t>
      </w:r>
      <w:r>
        <w:t xml:space="preserve">(Sauer et al. 2013)</w:t>
      </w:r>
      <w:r>
        <w:t xml:space="preserve"> </w:t>
      </w:r>
      <w:r>
        <w:t xml:space="preserve">to evaluate trends in abundance, biomass, and energy use. BBS (BBS methods background). We explored trends in abundance, biomass, and energy use over the 30-year time period from 1988-2018. We selected these years to provide a temporal window sufficient to detect trends (</w:t>
      </w:r>
      <w:r>
        <w:t xml:space="preserve">Cusser et al. (2020)</w:t>
      </w:r>
      <w:r>
        <w:t xml:space="preserve">), while allowing for a substantial number of routes. To avoid irregularities caused by missing time steps, we restricted the main analysis to routes that had been sampled every year from 1988-2018 (n = 350), and compared these results to a more inclusive selection of routes that were sampled in at least 25 of 30 years in this window (n &gt;1000). We take the route to be the</w:t>
      </w:r>
      <w:r>
        <w:t xml:space="preserve"> </w:t>
      </w:r>
      <w:r>
        <w:t xml:space="preserve">“</w:t>
      </w:r>
      <w:r>
        <w:t xml:space="preserve">community</w:t>
      </w:r>
      <w:r>
        <w:t xml:space="preserve">”</w:t>
      </w:r>
      <w:r>
        <w:t xml:space="preserve"> </w:t>
      </w:r>
      <w:r>
        <w:t xml:space="preserve">scale [</w:t>
      </w:r>
      <w:r>
        <w:t xml:space="preserve">Thibault et al. (2011)</w:t>
      </w:r>
      <w:r>
        <w:t xml:space="preserve">; others]. We filtered the data to remove taxa that are poorly sampled through these methods, following (literally everyone).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Heading2"/>
      </w:pPr>
      <w:bookmarkStart w:id="23" w:name="estimated-size-data"/>
      <w:r>
        <w:t xml:space="preserve">Estimated size data</w:t>
      </w:r>
      <w:bookmarkEnd w:id="23"/>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Dunning (2008)</w:t>
      </w:r>
      <w:r>
        <w:t xml:space="preserve">, we drew individuals’ body sizes from the appropriate normal distributions. For species for which there was not a standard deviation recorded in</w:t>
      </w:r>
      <w:r>
        <w:t xml:space="preserve"> </w:t>
      </w:r>
      <w:r>
        <w:t xml:space="preserve">Dunning (2008)</w:t>
      </w:r>
      <w:r>
        <w:t xml:space="preserve"> </w:t>
      </w:r>
      <w:r>
        <w:t xml:space="preserve">(185 species affected, of 421 total), we estimated the standard deviation based on an allometric scaling relationship between mean and standard deviation in body mass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Dunning (2008)</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w:t>
      </w:r>
      <w:r>
        <w:rPr>
          <w:b/>
        </w:rPr>
        <w:t xml:space="preserve">???</w:t>
      </w:r>
      <w:r>
        <w:t xml:space="preserve">,</w:t>
      </w:r>
      <w:r>
        <w:t xml:space="preserve"> </w:t>
      </w:r>
      <w:r>
        <w:rPr>
          <w:b/>
        </w:rPr>
        <w:t xml:space="preserve">???</w:t>
      </w:r>
      <w:r>
        <w:t xml:space="preserve">, Fristoe 2015)</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(Dunning 2008,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24" w:name="X90d0b1b91c64e61859763165be56ef0aa57a358"/>
      <w:r>
        <w:t xml:space="preserve">Comparing abundance- and size- based currencies</w:t>
      </w:r>
      <w:bookmarkEnd w:id="24"/>
    </w:p>
    <w:p>
      <w:pPr>
        <w:pStyle w:val="FirstParagraph"/>
      </w:pPr>
      <w:r>
        <w:t xml:space="preserve">Comparing trends across different currencies is a nontrivial statistical challenge. Because different currencies vary widely in their units of measure (e.g. abundance in the hundreds of individuals; total biomass in the thousands of grams), it is challenging to interpret differences in magnitude of slope across different currencies. Transformation and scaling using common approaches (such as a square-root transform or rescaling each currency to a mean of 0 and a standard deviation of 1;</w:t>
      </w:r>
      <w:r>
        <w:t xml:space="preserve"> </w:t>
      </w:r>
      <w:r>
        <w:t xml:space="preserve">Gotelli et al. (2017)</w:t>
      </w:r>
      <w:r>
        <w:t xml:space="preserve">;</w:t>
      </w:r>
      <w:r>
        <w:t xml:space="preserve"> </w:t>
      </w:r>
      <w:r>
        <w:t xml:space="preserve">Dornelas et al. (2014)</w:t>
      </w:r>
      <w:r>
        <w:t xml:space="preserve">) destroys information about the degree of variability within each currency.</w:t>
      </w:r>
    </w:p>
    <w:p>
      <w:pPr>
        <w:pStyle w:val="BodyText"/>
      </w:pPr>
      <w:r>
        <w:t xml:space="preserve">Rather than attempting to compare slopes across currencies or to transform different currencies to a common scale, I use a simple null model to compare the observed dynamics for biomass and energy use to the dynamics that would occur in a scenario in which the species (and therefore size) composition of the community was consistent throughout the timeseries, but in which total abundance varied over time consistent with the observed dynamics. For each route, we characterized the</w:t>
      </w:r>
      <w:r>
        <w:t xml:space="preserve"> </w:t>
      </w:r>
      <w:r>
        <w:t xml:space="preserve">“</w:t>
      </w:r>
      <w:r>
        <w:t xml:space="preserve">observed</w:t>
      </w:r>
      <w:r>
        <w:t xml:space="preserve">”</w:t>
      </w:r>
      <w:r>
        <w:t xml:space="preserve"> </w:t>
      </w:r>
      <w:r>
        <w:t xml:space="preserve">timeseries of total biomass and total energy use by simulating size measurements for all individuals observed in each time step and summing across individuals, using the method described above. We then created simulated timeseries for biomass and energy use by re-assigning the species identities of individuals based on each species’ mean relative abundance throughout the timeseries. For each time step, we calculated the relative abundance for each species. For each species, we then took the mean relative abundance over all time steps. We used the distribution of species’ mean relative abundances as the weights for a multinomial distribution describing the probability than an individual drawn at random from the community is of a particular species. For every timestep, we assigned species identities to individuals by sampling the observed number of individuals from this timeseries-wide multinomial distribution. We then simulated body size measurements for individuals, and calculated total energy use and total biomass, following the same procedure as for the observed community. This estimates the dynamics for size-based currencies expected if the species (and size) composition of the community does not change over time, but incorporating observed fluctuations in total abundance.</w:t>
      </w:r>
    </w:p>
    <w:p>
      <w:pPr>
        <w:pStyle w:val="Heading3"/>
      </w:pPr>
      <w:bookmarkStart w:id="25" w:name="linear-trends"/>
      <w:r>
        <w:t xml:space="preserve">Linear trends</w:t>
      </w:r>
      <w:bookmarkEnd w:id="25"/>
    </w:p>
    <w:p>
      <w:pPr>
        <w:pStyle w:val="FirstParagraph"/>
      </w:pPr>
      <w:r>
        <w:t xml:space="preserve">For each route, we evaluated the 30-year trend in biomass (or energy use) and compared this to the trend derived from the null model using generalized linear models with a Gamma family and log link. We fit four models to characterize 1) the trend in biomass (or energy use) over time and 2) whether this trend deviates from the trend expected given only changes in abundance:</w:t>
      </w:r>
    </w:p>
    <w:p>
      <w:pPr>
        <w:pStyle w:val="Compact"/>
        <w:numPr>
          <w:numId w:val="1001"/>
          <w:ilvl w:val="0"/>
        </w:numPr>
      </w:pPr>
      <w:r>
        <w:rPr>
          <w:rStyle w:val="VerbatimChar"/>
        </w:rPr>
        <w:t xml:space="preserve">biomass ~ year * source</w:t>
      </w:r>
      <w:r>
        <w:t xml:space="preserve">, in which</w:t>
      </w:r>
      <w:r>
        <w:t xml:space="preserve"> </w:t>
      </w:r>
      <w:r>
        <w:t xml:space="preserve">“</w:t>
      </w:r>
      <w:r>
        <w:t xml:space="preserve">source</w:t>
      </w:r>
      <w:r>
        <w:t xml:space="preserve">”</w:t>
      </w:r>
      <w:r>
        <w:t xml:space="preserve"> </w:t>
      </w:r>
      <w:r>
        <w:t xml:space="preserve">refers to being either the</w:t>
      </w:r>
      <w:r>
        <w:t xml:space="preserve"> </w:t>
      </w:r>
      <w:r>
        <w:t xml:space="preserve">“</w:t>
      </w:r>
      <w:r>
        <w:t xml:space="preserve">observed</w:t>
      </w:r>
      <w:r>
        <w:t xml:space="preserve">”</w:t>
      </w:r>
      <w:r>
        <w:t xml:space="preserve"> </w:t>
      </w:r>
      <w:r>
        <w:t xml:space="preserve">or</w:t>
      </w:r>
      <w:r>
        <w:t xml:space="preserve"> </w:t>
      </w:r>
      <w:r>
        <w:t xml:space="preserve">“</w:t>
      </w:r>
      <w:r>
        <w:t xml:space="preserve">null model</w:t>
      </w:r>
      <w:r>
        <w:t xml:space="preserve">”</w:t>
      </w:r>
      <w:r>
        <w:t xml:space="preserve"> </w:t>
      </w:r>
      <w:r>
        <w:t xml:space="preserve">value. This model fits a slope and intercept for the observed trend biomass over time, and a separate slope and intercept for the trend drawn from the null model.</w:t>
      </w:r>
    </w:p>
    <w:p>
      <w:pPr>
        <w:pStyle w:val="Compact"/>
        <w:numPr>
          <w:numId w:val="1001"/>
          <w:ilvl w:val="0"/>
        </w:numPr>
      </w:pPr>
      <w:r>
        <w:rPr>
          <w:rStyle w:val="VerbatimChar"/>
        </w:rPr>
        <w:t xml:space="preserve">biomass ~ year + source</w:t>
      </w:r>
      <w:r>
        <w:t xml:space="preserve">. This model fits a separate intercept, but not slope, for the null model.</w:t>
      </w:r>
    </w:p>
    <w:p>
      <w:pPr>
        <w:pStyle w:val="Compact"/>
        <w:numPr>
          <w:numId w:val="1001"/>
          <w:ilvl w:val="0"/>
        </w:numPr>
      </w:pPr>
      <w:r>
        <w:rPr>
          <w:rStyle w:val="VerbatimChar"/>
        </w:rPr>
        <w:t xml:space="preserve">biomass ~ year</w:t>
      </w:r>
      <w:r>
        <w:t xml:space="preserve">. This model fits a temporal trend, but does not fit separate trends for the observed and null data.</w:t>
      </w:r>
    </w:p>
    <w:p>
      <w:pPr>
        <w:pStyle w:val="Compact"/>
        <w:numPr>
          <w:numId w:val="1001"/>
          <w:ilvl w:val="0"/>
        </w:numPr>
      </w:pPr>
      <w:r>
        <w:rPr>
          <w:rStyle w:val="VerbatimChar"/>
        </w:rPr>
        <w:t xml:space="preserve">biomass ~ 1</w:t>
      </w:r>
      <w:r>
        <w:t xml:space="preserve">. The intercept-only model describes no directional change over time for either the observed or null data.</w:t>
      </w:r>
    </w:p>
    <w:p>
      <w:pPr>
        <w:pStyle w:val="FirstParagraph"/>
      </w:pPr>
      <w:r>
        <w:t xml:space="preserve">We selected the best-fitting model using AICc. In instances where multiple models had AICc scores within two AICc units of each other, we selected the simplest model within two units of the best score.</w:t>
      </w:r>
    </w:p>
    <w:p>
      <w:pPr>
        <w:pStyle w:val="BodyText"/>
      </w:pPr>
      <w:r>
        <w:t xml:space="preserve">For each route’s best-fitting model, we extracted the predicted values for the first (usually 1988) and last (usually 2018) year sampled, for both the observed and null trajectories. We calculated the magnitude of change over time as the ratio of the last (2018) to the first (1988) value.</w:t>
      </w:r>
    </w:p>
    <w:p>
      <w:pPr>
        <w:pStyle w:val="Heading3"/>
      </w:pPr>
      <w:bookmarkStart w:id="26" w:name="Xf52682cc24fddfc42902ae396636db7b062a06f"/>
      <w:r>
        <w:t xml:space="preserve">Distinguishing between stasis and nondirectional variability</w:t>
      </w:r>
      <w:bookmarkEnd w:id="26"/>
    </w:p>
    <w:p>
      <w:pPr>
        <w:pStyle w:val="FirstParagraph"/>
      </w:pPr>
      <w:r>
        <w:t xml:space="preserve">It is important to recognize that the absence of a linear temporal trend, or an absence of</w:t>
      </w:r>
      <w:r>
        <w:t xml:space="preserve"> </w:t>
      </w:r>
      <w:r>
        <w:rPr>
          <w:i/>
        </w:rPr>
        <w:t xml:space="preserve">different</w:t>
      </w:r>
      <w:r>
        <w:t xml:space="preserve"> </w:t>
      </w:r>
      <w:r>
        <w:t xml:space="preserve">linear trends for observed and null dynamics, do not directly imply the absence of variability over time or between observed and null dynamics. We explored the level of variability in both the temporal trends and in the correspondence between the observed and null dynamics, to distinguish between scenarios of very little change or decoupling, and scenarios of high variability that is not well-captured by a linear trend or interaction. First, we calculated the degree of variability (coefficient of variation) in biomass and total energy use for each route and compared the variability observed in routes best-characterized by different models. Second, we examined the correlation coefficient relating observed values to simulated values for biomass (or energy use) and compared the distribution of correlation coefficients among routes well-described by</w:t>
      </w:r>
      <w:r>
        <w:t xml:space="preserve"> </w:t>
      </w:r>
      <w:r>
        <w:t xml:space="preserve">“</w:t>
      </w:r>
      <w:r>
        <w:t xml:space="preserve">decoupled</w:t>
      </w:r>
      <w:r>
        <w:t xml:space="preserve">”</w:t>
      </w:r>
      <w:r>
        <w:t xml:space="preserve"> </w:t>
      </w:r>
      <w:r>
        <w:t xml:space="preserve">models and simpler models.</w:t>
      </w:r>
    </w:p>
    <w:p>
      <w:pPr>
        <w:pStyle w:val="Heading3"/>
      </w:pPr>
      <w:bookmarkStart w:id="27" w:name="Xa8af55dd1990f7dab16615aac58192fe217f368"/>
      <w:r>
        <w:t xml:space="preserve">Distinguishing observed vs. null dynamics</w:t>
      </w:r>
      <w:bookmarkEnd w:id="27"/>
    </w:p>
    <w:p>
      <w:pPr>
        <w:pStyle w:val="FirstParagraph"/>
      </w:pPr>
      <w:r>
        <w:t xml:space="preserve">As a test of whether observed dynamics were more dissimilar to null dynamics than can be accounted for by sampling error within the null model, we calculated the correlation coefficient for 100 draws from the null model compared to the focal draw used for the linear model analyses. We calculated the percentile score of the observed correlation coefficient relative to draws from the null model, and calculated the difference between the observed correlation coefficient and the mean correlation coefficient across all draws from the null model.</w:t>
      </w:r>
    </w:p>
    <w:p>
      <w:r>
        <w:br w:type="page"/>
      </w:r>
    </w:p>
    <w:p>
      <w:pPr>
        <w:pStyle w:val="Heading1"/>
      </w:pPr>
      <w:bookmarkStart w:id="28" w:name="results"/>
      <w:r>
        <w:t xml:space="preserve">Results</w:t>
      </w:r>
      <w:bookmarkEnd w:id="28"/>
    </w:p>
    <w:p>
      <w:pPr>
        <w:pStyle w:val="FirstParagraph"/>
      </w:pPr>
      <w:r>
        <w:t xml:space="preserve">This analysis revealed evidence of qualitatively different continent-level patterns in the dynamics of biomass, energy, and abundance. Of the 739 routes in this analysis, approximately 70% (500/739 for biomass, and 509/739 for energy use) were best-described using a model incorporating a temporal trend in abundance and/or biomass or energy use. For biomass, these temporal trends were evenly balanced between increases and decreases (256 decreasing trends, and 244 increasing trends). For energy use, there was a much greater representation of decreasing trends (329 decreasing trends and 180 increasing trends). Trends driven by abundance, as reflected by the</w:t>
      </w:r>
      <w:r>
        <w:t xml:space="preserve"> </w:t>
      </w:r>
      <w:r>
        <w:t xml:space="preserve">“</w:t>
      </w:r>
      <w:r>
        <w:t xml:space="preserve">null</w:t>
      </w:r>
      <w:r>
        <w:t xml:space="preserve">”</w:t>
      </w:r>
      <w:r>
        <w:t xml:space="preserve"> </w:t>
      </w:r>
      <w:r>
        <w:t xml:space="preserve">dynamics, were strongly dominated by declines (335 decreases and 165 increases for abundance-driven dynamics in biomass, and 355 decreases and 154 increases for abundance-driven dynamics in energy use).</w:t>
      </w:r>
    </w:p>
    <w:p>
      <w:pPr>
        <w:pStyle w:val="BodyText"/>
      </w:pPr>
      <w:r>
        <w:t xml:space="preserve">These divergent aggregate outcomes in abundance, energy use, and especially biomass occurred due to decoupling in the long-term trends for these different currencies. For a substantial minority of routes (20% of all routes for biomass, and 7% of all routes for energy use), the best-fitting model fit a different long-term trend for biomass or energy use than for the</w:t>
      </w:r>
      <w:r>
        <w:t xml:space="preserve"> </w:t>
      </w:r>
      <w:r>
        <w:t xml:space="preserve">“</w:t>
      </w:r>
      <w:r>
        <w:t xml:space="preserve">null</w:t>
      </w:r>
      <w:r>
        <w:t xml:space="preserve">”</w:t>
      </w:r>
      <w:r>
        <w:t xml:space="preserve">, abundance-driven, trend. When this decoupling occurred, it was overwhelmingly dominated by scenarios in which the slope for abundance-driven dynamics was more negative than that for biomass or energy use (</w:t>
      </w:r>
      <w:r>
        <w:rPr>
          <w:i/>
        </w:rPr>
        <w:t xml:space="preserve">get numbers</w:t>
      </w:r>
      <w:r>
        <w:t xml:space="preserve">).</w:t>
      </w:r>
    </w:p>
    <w:p>
      <w:pPr>
        <w:pStyle w:val="BodyText"/>
      </w:pPr>
      <w:r>
        <w:t xml:space="preserve">Decoupling between the long-term trajectories of abundance and energy use or biomass is, by definition, indicative of some degree of change in the ISD over time. However, there was not a detectable difference in the degree of turnover in the ISD compared between routes that exhibited different dynamics (i.e. no linear temporal trend, a consistent temporal trend for abundance and biomass or energy use, or differing trends for abundance and biomass or energy use).</w:t>
      </w:r>
    </w:p>
    <w:p>
      <w:r>
        <w:br w:type="page"/>
      </w:r>
    </w:p>
    <w:p>
      <w:pPr>
        <w:pStyle w:val="Heading1"/>
      </w:pPr>
      <w:bookmarkStart w:id="29" w:name="discussion"/>
      <w:r>
        <w:t xml:space="preserve">Discussion</w:t>
      </w:r>
      <w:bookmarkEnd w:id="29"/>
    </w:p>
    <w:p>
      <w:pPr>
        <w:pStyle w:val="Heading2"/>
      </w:pPr>
      <w:bookmarkStart w:id="30" w:name="biological-interpretation-of-results"/>
      <w:r>
        <w:t xml:space="preserve">Biological interpretation of results</w:t>
      </w:r>
      <w:bookmarkEnd w:id="30"/>
    </w:p>
    <w:p>
      <w:pPr>
        <w:pStyle w:val="FirstParagraph"/>
      </w:pPr>
      <w:r>
        <w:t xml:space="preserve">While changes in size-based currencies usually scale with abundance, in a substantial minority of instances they do not. Meaning, there has been directional shift in the size structure that changes the outcome for function vs abundance.</w:t>
      </w:r>
    </w:p>
    <w:p>
      <w:pPr>
        <w:pStyle w:val="BodyText"/>
      </w:pPr>
      <w:r>
        <w:t xml:space="preserve">This means we should extrapolate from</w:t>
      </w:r>
      <w:r>
        <w:t xml:space="preserve"> </w:t>
      </w:r>
      <w:r>
        <w:t xml:space="preserve">“</w:t>
      </w:r>
      <w:r>
        <w:t xml:space="preserve">abundance</w:t>
      </w:r>
      <w:r>
        <w:t xml:space="preserve">”</w:t>
      </w:r>
      <w:r>
        <w:t xml:space="preserve"> </w:t>
      </w:r>
      <w:r>
        <w:t xml:space="preserve">to</w:t>
      </w:r>
      <w:r>
        <w:t xml:space="preserve"> </w:t>
      </w:r>
      <w:r>
        <w:t xml:space="preserve">“</w:t>
      </w:r>
      <w:r>
        <w:t xml:space="preserve">function</w:t>
      </w:r>
      <w:r>
        <w:t xml:space="preserve">”</w:t>
      </w:r>
      <w:r>
        <w:t xml:space="preserve"> </w:t>
      </w:r>
      <w:r>
        <w:t xml:space="preserve">with some care.</w:t>
      </w:r>
    </w:p>
    <w:p>
      <w:pPr>
        <w:pStyle w:val="BodyText"/>
      </w:pPr>
      <w:r>
        <w:t xml:space="preserve">When these strong size shifts occur, it is also a prompt to dig deeper into what’s going on in that system.</w:t>
      </w:r>
    </w:p>
    <w:p>
      <w:pPr>
        <w:pStyle w:val="BodyText"/>
      </w:pPr>
      <w:r>
        <w:t xml:space="preserve">When they diverge, it is usually in the direction of less-negative-change. Because abundance is usually decreasing, this is generally partially offsetting the decline in energy use/biomass that would be expected just given abundance. This contrasts with general concerns about size-biased declines disproportionately affecting large species. However, the increase in body size is consistent with other observations specific to BBS, possibly reflecting forests in recovery across North America.</w:t>
      </w:r>
    </w:p>
    <w:p>
      <w:pPr>
        <w:pStyle w:val="Heading2"/>
      </w:pPr>
      <w:bookmarkStart w:id="31" w:name="limitations-and-paths-forward"/>
      <w:r>
        <w:t xml:space="preserve">Limitations and paths forward</w:t>
      </w:r>
      <w:bookmarkEnd w:id="31"/>
    </w:p>
    <w:p>
      <w:pPr>
        <w:pStyle w:val="Heading2"/>
      </w:pPr>
      <w:bookmarkStart w:id="32" w:name="conclusions"/>
      <w:r>
        <w:t xml:space="preserve">Conclusions</w:t>
      </w:r>
      <w:bookmarkEnd w:id="32"/>
    </w:p>
    <w:p>
      <w:r>
        <w:br w:type="page"/>
      </w:r>
    </w:p>
    <w:p>
      <w:pPr>
        <w:pStyle w:val="Heading1"/>
      </w:pPr>
      <w:bookmarkStart w:id="33" w:name="biomasss"/>
      <w:r>
        <w:t xml:space="preserve">Biomasss</w:t>
      </w:r>
      <w:bookmarkEnd w:id="33"/>
    </w:p>
    <w:p>
      <w:pPr>
        <w:pStyle w:val="Heading2"/>
      </w:pPr>
      <w:bookmarkStart w:id="34" w:name="model-outcomes"/>
      <w:r>
        <w:t xml:space="preserve">Model outcomes</w:t>
      </w:r>
      <w:bookmarkEnd w:id="34"/>
    </w:p>
    <w:p>
      <w:pPr>
        <w:pStyle w:val="FirstParagraph"/>
      </w:pPr>
      <w:r>
        <w:t xml:space="preserve">Overall proportion of routes with winning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model_family</w:t>
            </w:r>
          </w:p>
        </w:tc>
        <w:tc>
          <w:tcPr>
            <w:tcBorders>
              <w:bottom w:val="single"/>
            </w:tcBorders>
            <w:vAlign w:val="bottom"/>
          </w:tcPr>
          <w:p>
            <w:pPr>
              <w:pStyle w:val="Compact"/>
              <w:jc w:val="left"/>
            </w:pPr>
            <w:r>
              <w:t xml:space="preserve">model_formula</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Gamma</w:t>
            </w:r>
          </w:p>
        </w:tc>
        <w:tc>
          <w:p>
            <w:pPr>
              <w:pStyle w:val="Compact"/>
              <w:jc w:val="left"/>
            </w:pPr>
            <w:r>
              <w:t xml:space="preserve">1</w:t>
            </w:r>
          </w:p>
        </w:tc>
        <w:tc>
          <w:p>
            <w:pPr>
              <w:pStyle w:val="Compact"/>
              <w:jc w:val="right"/>
            </w:pPr>
            <w:r>
              <w:t xml:space="preserve">239</w:t>
            </w:r>
          </w:p>
        </w:tc>
        <w:tc>
          <w:p>
            <w:pPr>
              <w:pStyle w:val="Compact"/>
              <w:jc w:val="right"/>
            </w:pPr>
            <w:r>
              <w:t xml:space="preserve">0.3234100</w:t>
            </w:r>
          </w:p>
        </w:tc>
      </w:tr>
      <w:tr>
        <w:tc>
          <w:p>
            <w:pPr>
              <w:pStyle w:val="Compact"/>
              <w:jc w:val="left"/>
            </w:pPr>
            <w:r>
              <w:t xml:space="preserve">Gamma</w:t>
            </w:r>
          </w:p>
        </w:tc>
        <w:tc>
          <w:p>
            <w:pPr>
              <w:pStyle w:val="Compact"/>
              <w:jc w:val="left"/>
            </w:pPr>
            <w:r>
              <w:t xml:space="preserve">timeperiod</w:t>
            </w:r>
          </w:p>
        </w:tc>
        <w:tc>
          <w:p>
            <w:pPr>
              <w:pStyle w:val="Compact"/>
              <w:jc w:val="right"/>
            </w:pPr>
            <w:r>
              <w:t xml:space="preserve">351</w:t>
            </w:r>
          </w:p>
        </w:tc>
        <w:tc>
          <w:p>
            <w:pPr>
              <w:pStyle w:val="Compact"/>
              <w:jc w:val="right"/>
            </w:pPr>
            <w:r>
              <w:t xml:space="preserve">0.4749662</w:t>
            </w:r>
          </w:p>
        </w:tc>
      </w:tr>
      <w:tr>
        <w:tc>
          <w:p>
            <w:pPr>
              <w:pStyle w:val="Compact"/>
              <w:jc w:val="left"/>
            </w:pPr>
            <w:r>
              <w:t xml:space="preserve">Gamma</w:t>
            </w:r>
          </w:p>
        </w:tc>
        <w:tc>
          <w:p>
            <w:pPr>
              <w:pStyle w:val="Compact"/>
              <w:jc w:val="left"/>
            </w:pPr>
            <w:r>
              <w:t xml:space="preserve">timeperiod * source</w:t>
            </w:r>
          </w:p>
        </w:tc>
        <w:tc>
          <w:p>
            <w:pPr>
              <w:pStyle w:val="Compact"/>
              <w:jc w:val="right"/>
            </w:pPr>
            <w:r>
              <w:t xml:space="preserve">149</w:t>
            </w:r>
          </w:p>
        </w:tc>
        <w:tc>
          <w:p>
            <w:pPr>
              <w:pStyle w:val="Compact"/>
              <w:jc w:val="right"/>
            </w:pPr>
            <w:r>
              <w:t xml:space="preserve">0.2016238</w:t>
            </w:r>
          </w:p>
        </w:tc>
      </w:tr>
    </w:tbl>
    <w:p>
      <w:pPr>
        <w:pStyle w:val="BodyText"/>
      </w:pPr>
      <w:r>
        <w:t xml:space="preserve">Of models with slope term, the proportion for which abundance and biomass are increasing: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abundance_increasing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335</w:t>
            </w:r>
          </w:p>
        </w:tc>
        <w:tc>
          <w:p>
            <w:pPr>
              <w:pStyle w:val="Compact"/>
              <w:jc w:val="right"/>
            </w:pPr>
            <w:r>
              <w:t xml:space="preserve">0.67</w:t>
            </w:r>
          </w:p>
        </w:tc>
      </w:tr>
      <w:tr>
        <w:tc>
          <w:p>
            <w:pPr>
              <w:pStyle w:val="Compact"/>
              <w:jc w:val="left"/>
            </w:pPr>
            <w:r>
              <w:t xml:space="preserve">TRUE</w:t>
            </w:r>
          </w:p>
        </w:tc>
        <w:tc>
          <w:p>
            <w:pPr>
              <w:pStyle w:val="Compact"/>
              <w:jc w:val="right"/>
            </w:pPr>
            <w:r>
              <w:t xml:space="preserve">165</w:t>
            </w:r>
          </w:p>
        </w:tc>
        <w:tc>
          <w:p>
            <w:pPr>
              <w:pStyle w:val="Compact"/>
              <w:jc w:val="right"/>
            </w:pPr>
            <w:r>
              <w:t xml:space="preserve">0.33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biomass_increasing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256</w:t>
            </w:r>
          </w:p>
        </w:tc>
        <w:tc>
          <w:p>
            <w:pPr>
              <w:pStyle w:val="Compact"/>
              <w:jc w:val="right"/>
            </w:pPr>
            <w:r>
              <w:t xml:space="preserve">0.512</w:t>
            </w:r>
          </w:p>
        </w:tc>
      </w:tr>
      <w:tr>
        <w:tc>
          <w:p>
            <w:pPr>
              <w:pStyle w:val="Compact"/>
              <w:jc w:val="left"/>
            </w:pPr>
            <w:r>
              <w:t xml:space="preserve">TRUE</w:t>
            </w:r>
          </w:p>
        </w:tc>
        <w:tc>
          <w:p>
            <w:pPr>
              <w:pStyle w:val="Compact"/>
              <w:jc w:val="right"/>
            </w:pPr>
            <w:r>
              <w:t xml:space="preserve">244</w:t>
            </w:r>
          </w:p>
        </w:tc>
        <w:tc>
          <w:p>
            <w:pPr>
              <w:pStyle w:val="Compact"/>
              <w:jc w:val="right"/>
            </w:pPr>
            <w:r>
              <w:t xml:space="preserve">0.488</w:t>
            </w:r>
          </w:p>
        </w:tc>
      </w:tr>
    </w:tbl>
    <w:p>
      <w:pPr>
        <w:pStyle w:val="BodyText"/>
      </w:pPr>
      <w:r>
        <w:t xml:space="preserve">Restricted to models with an</w:t>
      </w:r>
      <w:r>
        <w:t xml:space="preserve"> </w:t>
      </w:r>
      <w:r>
        <w:rPr>
          <w:i/>
        </w:rPr>
        <w:t xml:space="preserve">interaction</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abundance_increasing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120</w:t>
            </w:r>
          </w:p>
        </w:tc>
        <w:tc>
          <w:p>
            <w:pPr>
              <w:pStyle w:val="Compact"/>
              <w:jc w:val="right"/>
            </w:pPr>
            <w:r>
              <w:t xml:space="preserve">0.8053691</w:t>
            </w:r>
          </w:p>
        </w:tc>
      </w:tr>
      <w:tr>
        <w:tc>
          <w:p>
            <w:pPr>
              <w:pStyle w:val="Compact"/>
              <w:jc w:val="left"/>
            </w:pPr>
            <w:r>
              <w:t xml:space="preserve">TRUE</w:t>
            </w:r>
          </w:p>
        </w:tc>
        <w:tc>
          <w:p>
            <w:pPr>
              <w:pStyle w:val="Compact"/>
              <w:jc w:val="right"/>
            </w:pPr>
            <w:r>
              <w:t xml:space="preserve">29</w:t>
            </w:r>
          </w:p>
        </w:tc>
        <w:tc>
          <w:p>
            <w:pPr>
              <w:pStyle w:val="Compact"/>
              <w:jc w:val="right"/>
            </w:pPr>
            <w:r>
              <w:t xml:space="preserve">0.1946309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biomass_increasing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41</w:t>
            </w:r>
          </w:p>
        </w:tc>
        <w:tc>
          <w:p>
            <w:pPr>
              <w:pStyle w:val="Compact"/>
              <w:jc w:val="right"/>
            </w:pPr>
            <w:r>
              <w:t xml:space="preserve">0.2751678</w:t>
            </w:r>
          </w:p>
        </w:tc>
      </w:tr>
      <w:tr>
        <w:tc>
          <w:p>
            <w:pPr>
              <w:pStyle w:val="Compact"/>
              <w:jc w:val="left"/>
            </w:pPr>
            <w:r>
              <w:t xml:space="preserve">TRUE</w:t>
            </w:r>
          </w:p>
        </w:tc>
        <w:tc>
          <w:p>
            <w:pPr>
              <w:pStyle w:val="Compact"/>
              <w:jc w:val="right"/>
            </w:pPr>
            <w:r>
              <w:t xml:space="preserve">108</w:t>
            </w:r>
          </w:p>
        </w:tc>
        <w:tc>
          <w:p>
            <w:pPr>
              <w:pStyle w:val="Compact"/>
              <w:jc w:val="right"/>
            </w:pPr>
            <w:r>
              <w:t xml:space="preserve">0.7248322</w:t>
            </w:r>
          </w:p>
        </w:tc>
      </w:tr>
    </w:tbl>
    <w:p>
      <w:pPr>
        <w:pStyle w:val="Heading2"/>
      </w:pPr>
      <w:bookmarkStart w:id="35" w:name="direction-and-magnitude-of-slopes"/>
      <w:r>
        <w:t xml:space="preserve">Direction and magnitude of slopes</w:t>
      </w:r>
      <w:bookmarkEnd w:id="35"/>
    </w:p>
    <w:p>
      <w:pPr>
        <w:pStyle w:val="FirstParagraph"/>
      </w:pPr>
      <w:r>
        <w:drawing>
          <wp:inline>
            <wp:extent cx="4267200" cy="2438400"/>
            <wp:effectExtent b="0" l="0" r="0" t="0"/>
            <wp:docPr descr="" title="" id="1" name="Picture"/>
            <a:graphic>
              <a:graphicData uri="http://schemas.openxmlformats.org/drawingml/2006/picture">
                <pic:pic>
                  <pic:nvPicPr>
                    <pic:cNvPr descr="consolidated_files/figure-docx/unnamed-chunk-4-1.png" id="0" name="Picture"/>
                    <pic:cNvPicPr>
                      <a:picLocks noChangeArrowheads="1" noChangeAspect="1"/>
                    </pic:cNvPicPr>
                  </pic:nvPicPr>
                  <pic:blipFill>
                    <a:blip r:embed="rId36"/>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consolidated_files/figure-docx/unnamed-chunk-4-2.png" id="0" name="Picture"/>
                    <pic:cNvPicPr>
                      <a:picLocks noChangeArrowheads="1" noChangeAspect="1"/>
                    </pic:cNvPicPr>
                  </pic:nvPicPr>
                  <pic:blipFill>
                    <a:blip r:embed="rId37"/>
                    <a:stretch>
                      <a:fillRect/>
                    </a:stretch>
                  </pic:blipFill>
                  <pic:spPr bwMode="auto">
                    <a:xfrm>
                      <a:off x="0" y="0"/>
                      <a:ext cx="4267200" cy="2438400"/>
                    </a:xfrm>
                    <a:prstGeom prst="rect">
                      <a:avLst/>
                    </a:prstGeom>
                    <a:noFill/>
                    <a:ln w="9525">
                      <a:noFill/>
                      <a:headEnd/>
                      <a:tailEnd/>
                    </a:ln>
                  </pic:spPr>
                </pic:pic>
              </a:graphicData>
            </a:graphic>
          </wp:inline>
        </w:drawing>
      </w:r>
    </w:p>
    <w:p>
      <w:pPr>
        <w:pStyle w:val="Heading2"/>
      </w:pPr>
      <w:bookmarkStart w:id="38" w:name="direction-of-decoupling"/>
      <w:r>
        <w:t xml:space="preserve">Direction of decoupling</w:t>
      </w:r>
      <w:bookmarkEnd w:id="38"/>
    </w:p>
    <w:p>
      <w:pPr>
        <w:pStyle w:val="FirstParagraph"/>
      </w:pPr>
      <w:r>
        <w:drawing>
          <wp:inline>
            <wp:extent cx="4876800" cy="4876800"/>
            <wp:effectExtent b="0" l="0" r="0" t="0"/>
            <wp:docPr descr="" title="" id="1" name="Picture"/>
            <a:graphic>
              <a:graphicData uri="http://schemas.openxmlformats.org/drawingml/2006/picture">
                <pic:pic>
                  <pic:nvPicPr>
                    <pic:cNvPr descr="consolidated_files/figure-docx/unnamed-chunk-5-1.png" id="0" name="Picture"/>
                    <pic:cNvPicPr>
                      <a:picLocks noChangeArrowheads="1" noChangeAspect="1"/>
                    </pic:cNvPicPr>
                  </pic:nvPicPr>
                  <pic:blipFill>
                    <a:blip r:embed="rId39"/>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t xml:space="preserve"> </w:t>
      </w:r>
      <w:r>
        <w:t xml:space="preserve"># Energy use</w:t>
      </w:r>
    </w:p>
    <w:p>
      <w:pPr>
        <w:pStyle w:val="Heading2"/>
      </w:pPr>
      <w:bookmarkStart w:id="40" w:name="model-outcomes-1"/>
      <w:r>
        <w:t xml:space="preserve">Model outcomes</w:t>
      </w:r>
      <w:bookmarkEnd w:id="40"/>
    </w:p>
    <w:p>
      <w:pPr>
        <w:pStyle w:val="FirstParagraph"/>
      </w:pPr>
      <w:r>
        <w:t xml:space="preserve">Overall proportion of routes with winning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model_family</w:t>
            </w:r>
          </w:p>
        </w:tc>
        <w:tc>
          <w:tcPr>
            <w:tcBorders>
              <w:bottom w:val="single"/>
            </w:tcBorders>
            <w:vAlign w:val="bottom"/>
          </w:tcPr>
          <w:p>
            <w:pPr>
              <w:pStyle w:val="Compact"/>
              <w:jc w:val="left"/>
            </w:pPr>
            <w:r>
              <w:t xml:space="preserve">model_formula</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Gamma</w:t>
            </w:r>
          </w:p>
        </w:tc>
        <w:tc>
          <w:p>
            <w:pPr>
              <w:pStyle w:val="Compact"/>
              <w:jc w:val="left"/>
            </w:pPr>
            <w:r>
              <w:t xml:space="preserve">1</w:t>
            </w:r>
          </w:p>
        </w:tc>
        <w:tc>
          <w:p>
            <w:pPr>
              <w:pStyle w:val="Compact"/>
              <w:jc w:val="right"/>
            </w:pPr>
            <w:r>
              <w:t xml:space="preserve">230</w:t>
            </w:r>
          </w:p>
        </w:tc>
        <w:tc>
          <w:p>
            <w:pPr>
              <w:pStyle w:val="Compact"/>
              <w:jc w:val="right"/>
            </w:pPr>
            <w:r>
              <w:t xml:space="preserve">0.3112314</w:t>
            </w:r>
          </w:p>
        </w:tc>
      </w:tr>
      <w:tr>
        <w:tc>
          <w:p>
            <w:pPr>
              <w:pStyle w:val="Compact"/>
              <w:jc w:val="left"/>
            </w:pPr>
            <w:r>
              <w:t xml:space="preserve">Gamma</w:t>
            </w:r>
          </w:p>
        </w:tc>
        <w:tc>
          <w:p>
            <w:pPr>
              <w:pStyle w:val="Compact"/>
              <w:jc w:val="left"/>
            </w:pPr>
            <w:r>
              <w:t xml:space="preserve">timeperiod</w:t>
            </w:r>
          </w:p>
        </w:tc>
        <w:tc>
          <w:p>
            <w:pPr>
              <w:pStyle w:val="Compact"/>
              <w:jc w:val="right"/>
            </w:pPr>
            <w:r>
              <w:t xml:space="preserve">456</w:t>
            </w:r>
          </w:p>
        </w:tc>
        <w:tc>
          <w:p>
            <w:pPr>
              <w:pStyle w:val="Compact"/>
              <w:jc w:val="right"/>
            </w:pPr>
            <w:r>
              <w:t xml:space="preserve">0.6170501</w:t>
            </w:r>
          </w:p>
        </w:tc>
      </w:tr>
      <w:tr>
        <w:tc>
          <w:p>
            <w:pPr>
              <w:pStyle w:val="Compact"/>
              <w:jc w:val="left"/>
            </w:pPr>
            <w:r>
              <w:t xml:space="preserve">Gamma</w:t>
            </w:r>
          </w:p>
        </w:tc>
        <w:tc>
          <w:p>
            <w:pPr>
              <w:pStyle w:val="Compact"/>
              <w:jc w:val="left"/>
            </w:pPr>
            <w:r>
              <w:t xml:space="preserve">timeperiod * source</w:t>
            </w:r>
          </w:p>
        </w:tc>
        <w:tc>
          <w:p>
            <w:pPr>
              <w:pStyle w:val="Compact"/>
              <w:jc w:val="right"/>
            </w:pPr>
            <w:r>
              <w:t xml:space="preserve">53</w:t>
            </w:r>
          </w:p>
        </w:tc>
        <w:tc>
          <w:p>
            <w:pPr>
              <w:pStyle w:val="Compact"/>
              <w:jc w:val="right"/>
            </w:pPr>
            <w:r>
              <w:t xml:space="preserve">0.0717185</w:t>
            </w:r>
          </w:p>
        </w:tc>
      </w:tr>
    </w:tbl>
    <w:p>
      <w:pPr>
        <w:pStyle w:val="BodyText"/>
      </w:pPr>
      <w:r>
        <w:t xml:space="preserve">Of models with slope term, the proportion for which abundance and biomass are increasing: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abundance_increasing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355</w:t>
            </w:r>
          </w:p>
        </w:tc>
        <w:tc>
          <w:p>
            <w:pPr>
              <w:pStyle w:val="Compact"/>
              <w:jc w:val="right"/>
            </w:pPr>
            <w:r>
              <w:t xml:space="preserve">0.697446</w:t>
            </w:r>
          </w:p>
        </w:tc>
      </w:tr>
      <w:tr>
        <w:tc>
          <w:p>
            <w:pPr>
              <w:pStyle w:val="Compact"/>
              <w:jc w:val="left"/>
            </w:pPr>
            <w:r>
              <w:t xml:space="preserve">TRUE</w:t>
            </w:r>
          </w:p>
        </w:tc>
        <w:tc>
          <w:p>
            <w:pPr>
              <w:pStyle w:val="Compact"/>
              <w:jc w:val="right"/>
            </w:pPr>
            <w:r>
              <w:t xml:space="preserve">154</w:t>
            </w:r>
          </w:p>
        </w:tc>
        <w:tc>
          <w:p>
            <w:pPr>
              <w:pStyle w:val="Compact"/>
              <w:jc w:val="right"/>
            </w:pPr>
            <w:r>
              <w:t xml:space="preserve">0.302554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energy_increasing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329</w:t>
            </w:r>
          </w:p>
        </w:tc>
        <w:tc>
          <w:p>
            <w:pPr>
              <w:pStyle w:val="Compact"/>
              <w:jc w:val="right"/>
            </w:pPr>
            <w:r>
              <w:t xml:space="preserve">0.6463654</w:t>
            </w:r>
          </w:p>
        </w:tc>
      </w:tr>
      <w:tr>
        <w:tc>
          <w:p>
            <w:pPr>
              <w:pStyle w:val="Compact"/>
              <w:jc w:val="left"/>
            </w:pPr>
            <w:r>
              <w:t xml:space="preserve">TRUE</w:t>
            </w:r>
          </w:p>
        </w:tc>
        <w:tc>
          <w:p>
            <w:pPr>
              <w:pStyle w:val="Compact"/>
              <w:jc w:val="right"/>
            </w:pPr>
            <w:r>
              <w:t xml:space="preserve">180</w:t>
            </w:r>
          </w:p>
        </w:tc>
        <w:tc>
          <w:p>
            <w:pPr>
              <w:pStyle w:val="Compact"/>
              <w:jc w:val="right"/>
            </w:pPr>
            <w:r>
              <w:t xml:space="preserve">0.3536346</w:t>
            </w:r>
          </w:p>
        </w:tc>
      </w:tr>
    </w:tbl>
    <w:p>
      <w:pPr>
        <w:pStyle w:val="BodyText"/>
      </w:pPr>
      <w:r>
        <w:t xml:space="preserve">Restricted to models with an</w:t>
      </w:r>
      <w:r>
        <w:t xml:space="preserve"> </w:t>
      </w:r>
      <w:r>
        <w:rPr>
          <w:i/>
        </w:rPr>
        <w:t xml:space="preserve">interaction</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abundance_increasing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42</w:t>
            </w:r>
          </w:p>
        </w:tc>
        <w:tc>
          <w:p>
            <w:pPr>
              <w:pStyle w:val="Compact"/>
              <w:jc w:val="right"/>
            </w:pPr>
            <w:r>
              <w:t xml:space="preserve">0.7924528</w:t>
            </w:r>
          </w:p>
        </w:tc>
      </w:tr>
      <w:tr>
        <w:tc>
          <w:p>
            <w:pPr>
              <w:pStyle w:val="Compact"/>
              <w:jc w:val="left"/>
            </w:pPr>
            <w:r>
              <w:t xml:space="preserve">TRUE</w:t>
            </w:r>
          </w:p>
        </w:tc>
        <w:tc>
          <w:p>
            <w:pPr>
              <w:pStyle w:val="Compact"/>
              <w:jc w:val="right"/>
            </w:pPr>
            <w:r>
              <w:t xml:space="preserve">11</w:t>
            </w:r>
          </w:p>
        </w:tc>
        <w:tc>
          <w:p>
            <w:pPr>
              <w:pStyle w:val="Compact"/>
              <w:jc w:val="right"/>
            </w:pPr>
            <w:r>
              <w:t xml:space="preserve">0.2075472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energy_increasing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16</w:t>
            </w:r>
          </w:p>
        </w:tc>
        <w:tc>
          <w:p>
            <w:pPr>
              <w:pStyle w:val="Compact"/>
              <w:jc w:val="right"/>
            </w:pPr>
            <w:r>
              <w:t xml:space="preserve">0.3018868</w:t>
            </w:r>
          </w:p>
        </w:tc>
      </w:tr>
      <w:tr>
        <w:tc>
          <w:p>
            <w:pPr>
              <w:pStyle w:val="Compact"/>
              <w:jc w:val="left"/>
            </w:pPr>
            <w:r>
              <w:t xml:space="preserve">TRUE</w:t>
            </w:r>
          </w:p>
        </w:tc>
        <w:tc>
          <w:p>
            <w:pPr>
              <w:pStyle w:val="Compact"/>
              <w:jc w:val="right"/>
            </w:pPr>
            <w:r>
              <w:t xml:space="preserve">37</w:t>
            </w:r>
          </w:p>
        </w:tc>
        <w:tc>
          <w:p>
            <w:pPr>
              <w:pStyle w:val="Compact"/>
              <w:jc w:val="right"/>
            </w:pPr>
            <w:r>
              <w:t xml:space="preserve">0.6981132</w:t>
            </w:r>
          </w:p>
        </w:tc>
      </w:tr>
    </w:tbl>
    <w:p>
      <w:pPr>
        <w:pStyle w:val="Heading2"/>
      </w:pPr>
      <w:bookmarkStart w:id="41" w:name="direction-and-magnitude-of-slopes-1"/>
      <w:r>
        <w:t xml:space="preserve">Direction and magnitude of slopes</w:t>
      </w:r>
      <w:bookmarkEnd w:id="41"/>
    </w:p>
    <w:p>
      <w:pPr>
        <w:pStyle w:val="FirstParagraph"/>
      </w:pPr>
      <w:r>
        <w:drawing>
          <wp:inline>
            <wp:extent cx="4267200" cy="2438400"/>
            <wp:effectExtent b="0" l="0" r="0" t="0"/>
            <wp:docPr descr="" title="" id="1" name="Picture"/>
            <a:graphic>
              <a:graphicData uri="http://schemas.openxmlformats.org/drawingml/2006/picture">
                <pic:pic>
                  <pic:nvPicPr>
                    <pic:cNvPr descr="consolidated_files/figure-docx/unnamed-chunk-10-1.png" id="0" name="Picture"/>
                    <pic:cNvPicPr>
                      <a:picLocks noChangeArrowheads="1" noChangeAspect="1"/>
                    </pic:cNvPicPr>
                  </pic:nvPicPr>
                  <pic:blipFill>
                    <a:blip r:embed="rId42"/>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consolidated_files/figure-docx/unnamed-chunk-10-2.png" id="0" name="Picture"/>
                    <pic:cNvPicPr>
                      <a:picLocks noChangeArrowheads="1" noChangeAspect="1"/>
                    </pic:cNvPicPr>
                  </pic:nvPicPr>
                  <pic:blipFill>
                    <a:blip r:embed="rId43"/>
                    <a:stretch>
                      <a:fillRect/>
                    </a:stretch>
                  </pic:blipFill>
                  <pic:spPr bwMode="auto">
                    <a:xfrm>
                      <a:off x="0" y="0"/>
                      <a:ext cx="4267200" cy="2438400"/>
                    </a:xfrm>
                    <a:prstGeom prst="rect">
                      <a:avLst/>
                    </a:prstGeom>
                    <a:noFill/>
                    <a:ln w="9525">
                      <a:noFill/>
                      <a:headEnd/>
                      <a:tailEnd/>
                    </a:ln>
                  </pic:spPr>
                </pic:pic>
              </a:graphicData>
            </a:graphic>
          </wp:inline>
        </w:drawing>
      </w:r>
    </w:p>
    <w:p>
      <w:pPr>
        <w:pStyle w:val="Heading2"/>
      </w:pPr>
      <w:bookmarkStart w:id="44" w:name="direction-of-decoupling-1"/>
      <w:r>
        <w:t xml:space="preserve">Direction of decoupling</w:t>
      </w:r>
      <w:bookmarkEnd w:id="44"/>
    </w:p>
    <w:p>
      <w:pPr>
        <w:pStyle w:val="FirstParagraph"/>
      </w:pPr>
      <w:r>
        <w:drawing>
          <wp:inline>
            <wp:extent cx="4876800" cy="4876800"/>
            <wp:effectExtent b="0" l="0" r="0" t="0"/>
            <wp:docPr descr="" title="" id="1" name="Picture"/>
            <a:graphic>
              <a:graphicData uri="http://schemas.openxmlformats.org/drawingml/2006/picture">
                <pic:pic>
                  <pic:nvPicPr>
                    <pic:cNvPr descr="consolidated_files/figure-docx/unnamed-chunk-11-1.png" id="0" name="Picture"/>
                    <pic:cNvPicPr>
                      <a:picLocks noChangeArrowheads="1" noChangeAspect="1"/>
                    </pic:cNvPicPr>
                  </pic:nvPicPr>
                  <pic:blipFill>
                    <a:blip r:embed="rId45"/>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2"/>
      </w:pPr>
      <w:bookmarkStart w:id="46" w:name="isd-overlap"/>
      <w:r>
        <w:t xml:space="preserve">ISD overlap</w:t>
      </w:r>
      <w:bookmarkEnd w:id="46"/>
    </w:p>
    <w:p>
      <w:pPr>
        <w:pStyle w:val="FirstParagraph"/>
      </w:pPr>
      <w:r>
        <w:drawing>
          <wp:inline>
            <wp:extent cx="4267200" cy="2438400"/>
            <wp:effectExtent b="0" l="0" r="0" t="0"/>
            <wp:docPr descr="" title="" id="1" name="Picture"/>
            <a:graphic>
              <a:graphicData uri="http://schemas.openxmlformats.org/drawingml/2006/picture">
                <pic:pic>
                  <pic:nvPicPr>
                    <pic:cNvPr descr="consolidated_files/figure-docx/unnamed-chunk-12-1.png" id="0" name="Picture"/>
                    <pic:cNvPicPr>
                      <a:picLocks noChangeArrowheads="1" noChangeAspect="1"/>
                    </pic:cNvPicPr>
                  </pic:nvPicPr>
                  <pic:blipFill>
                    <a:blip r:embed="rId47"/>
                    <a:stretch>
                      <a:fillRect/>
                    </a:stretch>
                  </pic:blipFill>
                  <pic:spPr bwMode="auto">
                    <a:xfrm>
                      <a:off x="0" y="0"/>
                      <a:ext cx="4267200" cy="2438400"/>
                    </a:xfrm>
                    <a:prstGeom prst="rect">
                      <a:avLst/>
                    </a:prstGeom>
                    <a:noFill/>
                    <a:ln w="9525">
                      <a:noFill/>
                      <a:headEnd/>
                      <a:tailEnd/>
                    </a:ln>
                  </pic:spPr>
                </pic:pic>
              </a:graphicData>
            </a:graphic>
          </wp:inline>
        </w:drawing>
      </w:r>
    </w:p>
    <w:p>
      <w:pPr>
        <w:pStyle w:val="BodyText"/>
      </w:pPr>
      <w:r>
        <w:t xml:space="preserve">R2 of binomial GLM</w:t>
      </w:r>
      <w:r>
        <w:t xml:space="preserve"> </w:t>
      </w:r>
      <w:r>
        <w:rPr>
          <w:rStyle w:val="VerbatimChar"/>
        </w:rPr>
        <w:t xml:space="preserve">overlap ~ model_formula</w:t>
      </w:r>
      <w:r>
        <w:t xml:space="preserve"> </w:t>
      </w:r>
      <w:r>
        <w:t xml:space="preserve">(which does not beat a</w:t>
      </w:r>
      <w:r>
        <w:t xml:space="preserve"> </w:t>
      </w:r>
      <w:r>
        <w:rPr>
          <w:rStyle w:val="VerbatimChar"/>
        </w:rPr>
        <w:t xml:space="preserve">overlap ~ 1</w:t>
      </w:r>
      <w:r>
        <w:t xml:space="preserve"> </w:t>
      </w:r>
      <w:r>
        <w:t xml:space="preserve">via AIC, FYI)</w:t>
      </w:r>
    </w:p>
    <w:p>
      <w:pPr>
        <w:pStyle w:val="SourceCode"/>
      </w:pPr>
      <w:r>
        <w:rPr>
          <w:rStyle w:val="VerbatimChar"/>
        </w:rPr>
        <w:t xml:space="preserve">## [1] 0.01288145</w:t>
      </w:r>
    </w:p>
    <w:p>
      <w:pPr>
        <w:pStyle w:val="Heading1"/>
      </w:pPr>
      <w:bookmarkStart w:id="48" w:name="goodness-of-fit-of-models"/>
      <w:r>
        <w:t xml:space="preserve">Goodness of fit of models</w:t>
      </w:r>
      <w:bookmarkEnd w:id="48"/>
    </w:p>
    <w:p>
      <w:pPr>
        <w:pStyle w:val="FirstParagraph"/>
      </w:pPr>
      <w:r>
        <w:drawing>
          <wp:inline>
            <wp:extent cx="4267200" cy="2438400"/>
            <wp:effectExtent b="0" l="0" r="0" t="0"/>
            <wp:docPr descr="" title="" id="1" name="Picture"/>
            <a:graphic>
              <a:graphicData uri="http://schemas.openxmlformats.org/drawingml/2006/picture">
                <pic:pic>
                  <pic:nvPicPr>
                    <pic:cNvPr descr="consolidated_files/figure-docx/unnamed-chunk-14-1.png" id="0" name="Picture"/>
                    <pic:cNvPicPr>
                      <a:picLocks noChangeArrowheads="1" noChangeAspect="1"/>
                    </pic:cNvPicPr>
                  </pic:nvPicPr>
                  <pic:blipFill>
                    <a:blip r:embed="rId49"/>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consolidated_files/figure-docx/unnamed-chunk-14-2.png" id="0" name="Picture"/>
                    <pic:cNvPicPr>
                      <a:picLocks noChangeArrowheads="1" noChangeAspect="1"/>
                    </pic:cNvPicPr>
                  </pic:nvPicPr>
                  <pic:blipFill>
                    <a:blip r:embed="rId50"/>
                    <a:stretch>
                      <a:fillRect/>
                    </a:stretch>
                  </pic:blipFill>
                  <pic:spPr bwMode="auto">
                    <a:xfrm>
                      <a:off x="0" y="0"/>
                      <a:ext cx="4267200" cy="2438400"/>
                    </a:xfrm>
                    <a:prstGeom prst="rect">
                      <a:avLst/>
                    </a:prstGeom>
                    <a:noFill/>
                    <a:ln w="9525">
                      <a:noFill/>
                      <a:headEnd/>
                      <a:tailEnd/>
                    </a:ln>
                  </pic:spPr>
                </pic:pic>
              </a:graphicData>
            </a:graphic>
          </wp:inline>
        </w:drawing>
      </w:r>
    </w:p>
    <w:p>
      <w:r>
        <w:br w:type="page"/>
      </w:r>
    </w:p>
    <w:p>
      <w:pPr>
        <w:pStyle w:val="Heading1"/>
      </w:pPr>
      <w:bookmarkStart w:id="51" w:name="references"/>
      <w:r>
        <w:t xml:space="preserve">References</w:t>
      </w:r>
      <w:bookmarkEnd w:id="51"/>
    </w:p>
    <w:bookmarkStart w:id="82" w:name="refs"/>
    <w:bookmarkStart w:id="52" w:name="ref-connolly2005"/>
    <w:p>
      <w:pPr>
        <w:pStyle w:val="Bibliography"/>
      </w:pPr>
      <w:r>
        <w:t xml:space="preserve">Connolly, S. R., T. P. Hughes, D. R. Bellwood, and R. H. Karlson. 2005. Community Structure of Corals and Reef Fishes at Multiple Scales. Science 309:1363–1365.</w:t>
      </w:r>
    </w:p>
    <w:bookmarkEnd w:id="52"/>
    <w:bookmarkStart w:id="53"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53"/>
    <w:bookmarkStart w:id="54"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54"/>
    <w:bookmarkStart w:id="55" w:name="ref-dornelas2011"/>
    <w:p>
      <w:pPr>
        <w:pStyle w:val="Bibliography"/>
      </w:pPr>
      <w:r>
        <w:t xml:space="preserve">Dornelas, M., D. A. T. Phillip, and A. E. Magurran. 2011. Abundance and dominance become less predictable as species richness decreases. Global Ecology and Biogeography 20:832–841.</w:t>
      </w:r>
    </w:p>
    <w:bookmarkEnd w:id="55"/>
    <w:bookmarkStart w:id="56" w:name="ref-dunning2008"/>
    <w:p>
      <w:pPr>
        <w:pStyle w:val="Bibliography"/>
      </w:pPr>
      <w:r>
        <w:t xml:space="preserve">Dunning, J. B. 2008. CRC handbook of avian body masses. CRC handbook of avian body masses. 2nd ed. CRC Press, Boca Raton.</w:t>
      </w:r>
    </w:p>
    <w:bookmarkEnd w:id="56"/>
    <w:bookmarkStart w:id="57" w:name="ref-ernest2005"/>
    <w:p>
      <w:pPr>
        <w:pStyle w:val="Bibliography"/>
      </w:pPr>
      <w:r>
        <w:t xml:space="preserve">Ernest, S. K. M. 2005. Body size, energy use, and community structure of small mammals. Ecology 86:1407–1413.</w:t>
      </w:r>
    </w:p>
    <w:bookmarkEnd w:id="57"/>
    <w:bookmarkStart w:id="58" w:name="ref-ernest2009"/>
    <w:p>
      <w:pPr>
        <w:pStyle w:val="Bibliography"/>
      </w:pPr>
      <w:r>
        <w:t xml:space="preserve">Ernest, S. K. M., E. P. White, and J. H. Brown. 2009. Changes in a tropical forest support metabolic zero-sum dynamics. Ecology Letters 12:507–515.</w:t>
      </w:r>
    </w:p>
    <w:bookmarkEnd w:id="58"/>
    <w:bookmarkStart w:id="59" w:name="ref-fisher2010"/>
    <w:p>
      <w:pPr>
        <w:pStyle w:val="Bibliography"/>
      </w:pPr>
      <w:r>
        <w:t xml:space="preserve">Fisher, J. A. D., K. T. Frank, and W. C. Leggett. 2010. Dynamic macroecology on ecological time-scales. Global Ecology and Biogeography 19:1–15.</w:t>
      </w:r>
    </w:p>
    <w:bookmarkEnd w:id="59"/>
    <w:bookmarkStart w:id="60" w:name="ref-fristoe2015"/>
    <w:p>
      <w:pPr>
        <w:pStyle w:val="Bibliography"/>
      </w:pPr>
      <w:r>
        <w:t xml:space="preserve">Fristoe, T. S. 2015. Energy use by migrants and residents in North American breeding bird communities. Global Ecology and Biogeography 24:406–415.</w:t>
      </w:r>
    </w:p>
    <w:bookmarkEnd w:id="60"/>
    <w:bookmarkStart w:id="61" w:name="ref-gardner2011"/>
    <w:p>
      <w:pPr>
        <w:pStyle w:val="Bibliography"/>
      </w:pPr>
      <w:r>
        <w:t xml:space="preserve">Gardner, J. L., A. Peters, M. R. Kearney, L. Joseph, and R. Heinsohn. 2011. Declining body size: A third universal response to warming? Trends in Ecology &amp; Evolution 26:285–291.</w:t>
      </w:r>
    </w:p>
    <w:bookmarkEnd w:id="61"/>
    <w:bookmarkStart w:id="62" w:name="ref-gotelli2017"/>
    <w:p>
      <w:pPr>
        <w:pStyle w:val="Bibliography"/>
      </w:pPr>
      <w:r>
        <w:t xml:space="preserve">Gotelli, N. J., H. Shimadzu, M. Dornelas, B. McGill, F. Moyes, and A. E. Magurran. 2017. Community-level regulation of temporal trends in biodiversity. Science Advances 3:e1700315.</w:t>
      </w:r>
    </w:p>
    <w:bookmarkEnd w:id="62"/>
    <w:bookmarkStart w:id="63"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63"/>
    <w:bookmarkStart w:id="64"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64"/>
    <w:bookmarkStart w:id="65" w:name="ref-holling1992"/>
    <w:p>
      <w:pPr>
        <w:pStyle w:val="Bibliography"/>
      </w:pPr>
      <w:r>
        <w:t xml:space="preserve">Holling, C. S. 1992. Cross-Scale Morphology, Geometry, and Dynamics of Ecosystems. Ecological Monographs 62:447–502.</w:t>
      </w:r>
    </w:p>
    <w:bookmarkEnd w:id="65"/>
    <w:bookmarkStart w:id="66"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66"/>
    <w:bookmarkStart w:id="67" w:name="ref-kerr01"/>
    <w:p>
      <w:pPr>
        <w:pStyle w:val="Bibliography"/>
      </w:pPr>
      <w:r>
        <w:t xml:space="preserve">Kerr, S. R., and L. M. Dickie. 1AD. The Biomass Spectrum: A Predator-Prey Theory of Aquatic Production. Page 352 Pages. Columbia University Press.</w:t>
      </w:r>
    </w:p>
    <w:bookmarkEnd w:id="67"/>
    <w:bookmarkStart w:id="68" w:name="ref-mcgill2015"/>
    <w:p>
      <w:pPr>
        <w:pStyle w:val="Bibliography"/>
      </w:pPr>
      <w:r>
        <w:t xml:space="preserve">McGill, B. J., M. Dornelas, N. J. Gotelli, and A. E. Magurran. 2015. Fifteen forms of biodiversity trend in the Anthropocene. Trends in Ecology &amp; Evolution 30:104–113.</w:t>
      </w:r>
    </w:p>
    <w:bookmarkEnd w:id="68"/>
    <w:bookmarkStart w:id="69"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69"/>
    <w:bookmarkStart w:id="70" w:name="ref-petchey2010"/>
    <w:p>
      <w:pPr>
        <w:pStyle w:val="Bibliography"/>
      </w:pPr>
      <w:r>
        <w:t xml:space="preserve">Petchey, O. L., and A. Belgrano. 2010. Body-size distributions and size-spectra: Universal indicators of ecological status? Biology Letters 6:434–437.</w:t>
      </w:r>
    </w:p>
    <w:bookmarkEnd w:id="70"/>
    <w:bookmarkStart w:id="71" w:name="ref-sauer2013"/>
    <w:p>
      <w:pPr>
        <w:pStyle w:val="Bibliography"/>
      </w:pPr>
      <w:r>
        <w:t xml:space="preserve">Sauer, J. R., W. A. Link, J. E. Fallon, K. L. Pardieck, and D. J. Ziolkowski. 2013. The North American Breeding Bird Survey 19662011: Summary Analysis and Species Accounts. North American Fauna:1–32.</w:t>
      </w:r>
    </w:p>
    <w:bookmarkEnd w:id="71"/>
    <w:bookmarkStart w:id="72" w:name="ref-schmitz2018"/>
    <w:p>
      <w:pPr>
        <w:pStyle w:val="Bibliography"/>
      </w:pPr>
      <w:r>
        <w:t xml:space="preserve">Schmitz, O. J., C. C. Wilmers, S. J. Leroux, C. E. Doughty, T. B. Atwood, M. Galetti, A. B. Davies, and S. J. Goetz. 2018. Animals and the zoogeochemistry of the carbon cycle. Science.</w:t>
      </w:r>
    </w:p>
    <w:bookmarkEnd w:id="72"/>
    <w:bookmarkStart w:id="73" w:name="ref-smith2018"/>
    <w:p>
      <w:pPr>
        <w:pStyle w:val="Bibliography"/>
      </w:pPr>
      <w:r>
        <w:t xml:space="preserve">Smith, F. A., R. E. Elliott Smith, S. K. Lyons, and J. L. Payne. 2018. Body size downgrading of mammals over the late Quaternary. Science 360:310–313.</w:t>
      </w:r>
    </w:p>
    <w:bookmarkEnd w:id="73"/>
    <w:bookmarkStart w:id="74"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74"/>
    <w:bookmarkStart w:id="75" w:name="ref-thibault2011"/>
    <w:p>
      <w:pPr>
        <w:pStyle w:val="Bibliography"/>
      </w:pPr>
      <w:r>
        <w:t xml:space="preserve">Thibault, K. M., E. P. White, A. H. Hurlbert, and S. K. M. Ernest. 2011. Multimodality in the individual size distributions of bird communities. Global Ecology and Biogeography 20:145–153.</w:t>
      </w:r>
    </w:p>
    <w:bookmarkEnd w:id="75"/>
    <w:bookmarkStart w:id="76" w:name="ref-warwick1994"/>
    <w:p>
      <w:pPr>
        <w:pStyle w:val="Bibliography"/>
      </w:pPr>
      <w:r>
        <w:t xml:space="preserve">Warwick, R. M., and K. R. Clarke. 1994. Relearning the ABC: Taxonomic changes and abundance/biomass relationships in disturbed benthic communities. Marine Biology 118:739–744.</w:t>
      </w:r>
    </w:p>
    <w:bookmarkEnd w:id="76"/>
    <w:bookmarkStart w:id="77" w:name="ref-white2007"/>
    <w:p>
      <w:pPr>
        <w:pStyle w:val="Bibliography"/>
      </w:pPr>
      <w:r>
        <w:t xml:space="preserve">White, E. P., S. K. M. Ernest, A. J. Kerkhoff, and B. J. Enquist. 2007. Relationships between body size and abundance in ecology. Trends in Ecology &amp; Evolution 22:323–330.</w:t>
      </w:r>
    </w:p>
    <w:bookmarkEnd w:id="77"/>
    <w:bookmarkStart w:id="78" w:name="ref-white2004"/>
    <w:p>
      <w:pPr>
        <w:pStyle w:val="Bibliography"/>
      </w:pPr>
      <w:r>
        <w:t xml:space="preserve">White, E. P., S. K. M. Ernest, and K. M. Thibault. 2004. Trade-offs in Community Properties through Time in a Desert Rodent Community. The American Naturalist 164:670–676.</w:t>
      </w:r>
    </w:p>
    <w:bookmarkEnd w:id="78"/>
    <w:bookmarkStart w:id="79" w:name="ref-ye2020"/>
    <w:p>
      <w:pPr>
        <w:pStyle w:val="Bibliography"/>
      </w:pPr>
      <w:r>
        <w:t xml:space="preserve">Ye, H., E. K. Bledsoe, R. Diaz, S. K. M. Ernest, J. L. Simonis, E. P. White, and G. M. Yenni. 2020, May. Macroecological Analyses of Time Series Structure. Zenodo.</w:t>
      </w:r>
    </w:p>
    <w:bookmarkEnd w:id="79"/>
    <w:bookmarkStart w:id="80"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80"/>
    <w:bookmarkStart w:id="81" w:name="ref-young2016"/>
    <w:p>
      <w:pPr>
        <w:pStyle w:val="Bibliography"/>
      </w:pPr>
      <w:r>
        <w:t xml:space="preserve">Young, H. S., D. J. McCauley, M. Galetti, and R. Dirzo. 2016. Patterns, Causes, and Consequences of Anthropocene Defaunation. Annual Review of Ecology, Evolution, and Systematics 47:333–358.</w:t>
      </w:r>
    </w:p>
    <w:bookmarkEnd w:id="81"/>
    <w:bookmarkEnd w:id="82"/>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2021-12-15T22:46:26Z</dcterms:created>
  <dcterms:modified xsi:type="dcterms:W3CDTF">2021-12-15T22:46:26Z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