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1.png" ContentType="image/png"/>
  <Override PartName="/word/media/rId2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69250c1d52590138dcfc8c8917d01dc8863552"/>
      <w:r>
        <w:t xml:space="preserve">Figure 1. Abundance-driven vs. observed change</w:t>
      </w:r>
      <w:bookmarkEnd w:id="20"/>
    </w:p>
    <w:p>
      <w:pPr>
        <w:pStyle w:val="FirstParagraph"/>
      </w:pPr>
      <w:r>
        <w:drawing>
          <wp:inline>
            <wp:extent cx="5943600" cy="4210050"/>
            <wp:effectExtent b="0" l="0" r="0" t="0"/>
            <wp:docPr descr="" title="" id="1" name="Picture"/>
            <a:graphic>
              <a:graphicData uri="http://schemas.openxmlformats.org/drawingml/2006/picture">
                <pic:pic>
                  <pic:nvPicPr>
                    <pic:cNvPr descr="figures_and_tables_files/figure-docx/unnamed-chunk-4-1.png" id="0" name="Picture"/>
                    <pic:cNvPicPr>
                      <a:picLocks noChangeArrowheads="1" noChangeAspect="1"/>
                    </pic:cNvPicPr>
                  </pic:nvPicPr>
                  <pic:blipFill>
                    <a:blip r:embed="rId21"/>
                    <a:stretch>
                      <a:fillRect/>
                    </a:stretch>
                  </pic:blipFill>
                  <pic:spPr bwMode="auto">
                    <a:xfrm>
                      <a:off x="0" y="0"/>
                      <a:ext cx="5943600" cy="4210050"/>
                    </a:xfrm>
                    <a:prstGeom prst="rect">
                      <a:avLst/>
                    </a:prstGeom>
                    <a:noFill/>
                    <a:ln w="9525">
                      <a:noFill/>
                      <a:headEnd/>
                      <a:tailEnd/>
                    </a:ln>
                  </pic:spPr>
                </pic:pic>
              </a:graphicData>
            </a:graphic>
          </wp:inline>
        </w:drawing>
      </w:r>
    </w:p>
    <w:p>
      <w:pPr>
        <w:pStyle w:val="Heading4"/>
      </w:pPr>
      <w:bookmarkStart w:id="22" w:name="figure-1."/>
      <w:r>
        <w:t xml:space="preserve">Figure 1.</w:t>
      </w:r>
      <w:bookmarkEnd w:id="22"/>
    </w:p>
    <w:p>
      <w:pPr>
        <w:pStyle w:val="FirstParagraph"/>
      </w:pPr>
      <w:r>
        <w:t xml:space="preserve">Illustration of abundance-driven (null model) dynamics as compared to observed dynamics (A), and the underlying dynamics of the ISD (B) for a sample route (LINDBROOK, Alberta).</w:t>
      </w:r>
      <w:r>
        <w:t xml:space="preserve"> </w:t>
      </w:r>
      <w:r>
        <w:rPr>
          <w:b/>
        </w:rPr>
        <w:t xml:space="preserve">A. Dynamics of total biomass.</w:t>
      </w:r>
      <w:r>
        <w:t xml:space="preserve"> </w:t>
      </w:r>
      <w:r>
        <w:t xml:space="preserve">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w:t>
      </w:r>
      <w:r>
        <w:t xml:space="preserve"> </w:t>
      </w:r>
      <w:r>
        <w:rPr>
          <w:rStyle w:val="VerbatimChar"/>
        </w:rPr>
        <w:t xml:space="preserve">total_biomass ~ year * Dynamics</w:t>
      </w:r>
      <w:r>
        <w:t xml:space="preserve">. For this route, change in the individual size distribution has decoupled the dynamics of biomass from those that would occur due only to changes in abundance. The slope for abundance-driven dynamics is significantly more negative than for the observed dynamics (interaction term p = 0.0013).</w:t>
      </w:r>
      <w:r>
        <w:t xml:space="preserve"> </w:t>
      </w:r>
      <w:r>
        <w:rPr>
          <w:b/>
        </w:rPr>
        <w:t xml:space="preserve">B. Underlying changes in the ISD.</w:t>
      </w:r>
      <w:r>
        <w:t xml:space="preserve"> </w:t>
      </w:r>
      <w:r>
        <w:t xml:space="preserve">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time periods. Specifically, the</w:t>
      </w:r>
      <w:r>
        <w:t xml:space="preserve"> </w:t>
      </w:r>
      <w:r>
        <w:t xml:space="preserve">“</w:t>
      </w:r>
      <w:r>
        <w:t xml:space="preserve">end</w:t>
      </w:r>
      <w:r>
        <w:t xml:space="preserve">”</w:t>
      </w:r>
      <w:r>
        <w:t xml:space="preserve"> </w:t>
      </w:r>
      <w:r>
        <w:t xml:space="preserve">ISD has peaks at larger body sizes (ca. 90g and 500g) not present in the</w:t>
      </w:r>
      <w:r>
        <w:t xml:space="preserve"> </w:t>
      </w:r>
      <w:r>
        <w:t xml:space="preserve">“</w:t>
      </w:r>
      <w:r>
        <w:t xml:space="preserve">begin</w:t>
      </w:r>
      <w:r>
        <w:t xml:space="preserve">”</w:t>
      </w:r>
      <w:r>
        <w:t xml:space="preserve"> </w:t>
      </w:r>
      <w:r>
        <w:t xml:space="preserve">ISD. This redistribution of density towards larger body sizes results in an overall increase in body size community wide, which partially offsets declines in total biomass from those expected given change in abundance alone.</w:t>
      </w:r>
    </w:p>
    <w:p>
      <w:r>
        <w:br w:type="page"/>
      </w:r>
    </w:p>
    <w:p>
      <w:r>
        <w:br w:type="page"/>
      </w:r>
    </w:p>
    <w:p>
      <w:pPr>
        <w:pStyle w:val="Heading1"/>
      </w:pPr>
      <w:bookmarkStart w:id="23" w:name="Xb1928d986f0a5590c4dec76178e233c0786cba2"/>
      <w:r>
        <w:t xml:space="preserve">Figure 2. Directions and magnitudes of change.</w:t>
      </w:r>
      <w:bookmarkEnd w:id="23"/>
    </w:p>
    <w:p>
      <w:pPr>
        <w:pStyle w:val="FirstParagraph"/>
      </w:pPr>
      <w:r>
        <w:drawing>
          <wp:inline>
            <wp:extent cx="4876800" cy="4876800"/>
            <wp:effectExtent b="0" l="0" r="0" t="0"/>
            <wp:docPr descr="" title="" id="1" name="Picture"/>
            <a:graphic>
              <a:graphicData uri="http://schemas.openxmlformats.org/drawingml/2006/picture">
                <pic:pic>
                  <pic:nvPicPr>
                    <pic:cNvPr descr="figures_and_tables_files/figure-docx/unnamed-chunk-5-1.png" id="0" name="Picture"/>
                    <pic:cNvPicPr>
                      <a:picLocks noChangeArrowheads="1" noChangeAspect="1"/>
                    </pic:cNvPicPr>
                  </pic:nvPicPr>
                  <pic:blipFill>
                    <a:blip r:embed="rId24"/>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4"/>
      </w:pPr>
      <w:bookmarkStart w:id="25" w:name="Xdeec4fde0abb4914eb92aec12c8ab2e89cb5ae2"/>
      <w:r>
        <w:t xml:space="preserve">Figure 2. Long-term trends in total biomass and energy use</w:t>
      </w:r>
      <w:bookmarkEnd w:id="25"/>
    </w:p>
    <w:p>
      <w:pPr>
        <w:pStyle w:val="FirstParagraph"/>
      </w:pPr>
      <w:r>
        <w:t xml:space="preserve">Histograms showing the direction and magnitude of change over time for the abundance-driven (left) and observed (right) changes in biomass (A) and energy use (B), for communities with a significant slope and/or interaction term (for biomass, 500/739 routes; for energy use, 509/739 routes).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with no significant interaction term in the best-fitting model, the</w:t>
      </w:r>
      <w:r>
        <w:t xml:space="preserve"> </w:t>
      </w:r>
      <w:r>
        <w:t xml:space="preserve">“</w:t>
      </w:r>
      <w:r>
        <w:t xml:space="preserve">abundance-driven</w:t>
      </w:r>
      <w:r>
        <w:t xml:space="preserve">”</w:t>
      </w:r>
      <w:r>
        <w:t xml:space="preserve"> </w:t>
      </w:r>
      <w:r>
        <w:t xml:space="preserve">and</w:t>
      </w:r>
      <w:r>
        <w:t xml:space="preserve"> </w:t>
      </w:r>
      <w:r>
        <w:t xml:space="preserve">“</w:t>
      </w:r>
      <w:r>
        <w:t xml:space="preserve">observed</w:t>
      </w:r>
      <w:r>
        <w:t xml:space="preserve">”</w:t>
      </w:r>
      <w:r>
        <w:t xml:space="preserve"> </w:t>
      </w:r>
      <w:r>
        <w:t xml:space="preserve">ratios will be the same; interaction terms will result in different ratios for</w:t>
      </w:r>
      <w:r>
        <w:t xml:space="preserve"> </w:t>
      </w:r>
      <w:r>
        <w:t xml:space="preserve">“</w:t>
      </w:r>
      <w:r>
        <w:t xml:space="preserve">abundance-driven</w:t>
      </w:r>
      <w:r>
        <w:t xml:space="preserve">”</w:t>
      </w:r>
      <w:r>
        <w:t xml:space="preserve"> </w:t>
      </w:r>
      <w:r>
        <w:t xml:space="preserve">and</w:t>
      </w:r>
      <w:r>
        <w:t xml:space="preserve"> </w:t>
      </w:r>
      <w:r>
        <w:t xml:space="preserve">“</w:t>
      </w:r>
      <w:r>
        <w:t xml:space="preserve">observed</w:t>
      </w:r>
      <w:r>
        <w:t xml:space="preserve">”</w:t>
      </w:r>
      <w:r>
        <w:t xml:space="preserve"> </w:t>
      </w:r>
      <w:r>
        <w:t xml:space="preserve">dynamics.</w:t>
      </w:r>
    </w:p>
    <w:p>
      <w:pPr>
        <w:pStyle w:val="BodyText"/>
      </w:pPr>
      <w:r>
        <w:t xml:space="preserve">Among routes with temporal trends, there are qualitatively different continental-wide patterns in abundance-driven and observed dynamics for total biomass and total metabolic flux. 70% of trends in abundance-driven dynamics for energy use are decreasing, and 67% for biomass. However,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abundance.</w:t>
      </w:r>
    </w:p>
    <w:p>
      <w:r>
        <w:br w:type="page"/>
      </w:r>
    </w:p>
    <w:p>
      <w:pPr>
        <w:pStyle w:val="Heading1"/>
      </w:pPr>
      <w:bookmarkStart w:id="26" w:name="tables-model-outcomes"/>
      <w:r>
        <w:t xml:space="preserve">Tables: Model outcomes</w:t>
      </w:r>
      <w:bookmarkEnd w:id="26"/>
    </w:p>
    <w:p>
      <w:pPr>
        <w:pStyle w:val="Heading3"/>
      </w:pPr>
      <w:bookmarkStart w:id="27" w:name="table-1."/>
      <w:r>
        <w:t xml:space="preserve">Table 1.</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Selected model</w:t>
            </w:r>
          </w:p>
        </w:tc>
        <w:tc>
          <w:tcPr>
            <w:tcBorders>
              <w:bottom w:val="single"/>
            </w:tcBorders>
            <w:vAlign w:val="bottom"/>
          </w:tcPr>
          <w:p>
            <w:pPr>
              <w:pStyle w:val="Compact"/>
              <w:jc w:val="right"/>
            </w:pPr>
            <w:r>
              <w:t xml:space="preserve">Number of routes</w:t>
            </w:r>
          </w:p>
        </w:tc>
        <w:tc>
          <w:tcPr>
            <w:tcBorders>
              <w:bottom w:val="single"/>
            </w:tcBorders>
            <w:vAlign w:val="bottom"/>
          </w:tcPr>
          <w:p>
            <w:pPr>
              <w:pStyle w:val="Compact"/>
              <w:jc w:val="right"/>
            </w:pPr>
            <w:r>
              <w:t xml:space="preserve">Proportion of routes</w:t>
            </w:r>
          </w:p>
        </w:tc>
      </w:tr>
      <w:tr>
        <w:tc>
          <w:p>
            <w:pPr>
              <w:pStyle w:val="Compact"/>
              <w:jc w:val="left"/>
            </w:pPr>
            <w:r>
              <w:t xml:space="preserve">Total biomass</w:t>
            </w:r>
          </w:p>
        </w:tc>
        <w:tc>
          <w:p>
            <w:pPr>
              <w:pStyle w:val="Compact"/>
              <w:jc w:val="left"/>
            </w:pPr>
            <w:r>
              <w:t xml:space="preserve">Intercept-only</w:t>
            </w:r>
          </w:p>
        </w:tc>
        <w:tc>
          <w:p>
            <w:pPr>
              <w:pStyle w:val="Compact"/>
              <w:jc w:val="right"/>
            </w:pPr>
            <w:r>
              <w:t xml:space="preserve">239</w:t>
            </w:r>
          </w:p>
        </w:tc>
        <w:tc>
          <w:p>
            <w:pPr>
              <w:pStyle w:val="Compact"/>
              <w:jc w:val="right"/>
            </w:pPr>
            <w:r>
              <w:t xml:space="preserve">0.32</w:t>
            </w:r>
          </w:p>
        </w:tc>
      </w:tr>
      <w:tr>
        <w:tc>
          <w:p>
            <w:pPr>
              <w:pStyle w:val="Compact"/>
              <w:jc w:val="left"/>
            </w:pPr>
            <w:r>
              <w:t xml:space="preserve">Total biomass</w:t>
            </w:r>
          </w:p>
        </w:tc>
        <w:tc>
          <w:p>
            <w:pPr>
              <w:pStyle w:val="Compact"/>
              <w:jc w:val="left"/>
            </w:pPr>
            <w:r>
              <w:t xml:space="preserve">Trend, not decoupled</w:t>
            </w:r>
          </w:p>
        </w:tc>
        <w:tc>
          <w:p>
            <w:pPr>
              <w:pStyle w:val="Compact"/>
              <w:jc w:val="right"/>
            </w:pPr>
            <w:r>
              <w:t xml:space="preserve">351</w:t>
            </w:r>
          </w:p>
        </w:tc>
        <w:tc>
          <w:p>
            <w:pPr>
              <w:pStyle w:val="Compact"/>
              <w:jc w:val="right"/>
            </w:pPr>
            <w:r>
              <w:t xml:space="preserve">0.47</w:t>
            </w:r>
          </w:p>
        </w:tc>
      </w:tr>
      <w:tr>
        <w:tc>
          <w:p>
            <w:pPr>
              <w:pStyle w:val="Compact"/>
              <w:jc w:val="left"/>
            </w:pPr>
            <w:r>
              <w:t xml:space="preserve">Total biomass</w:t>
            </w:r>
          </w:p>
        </w:tc>
        <w:tc>
          <w:p>
            <w:pPr>
              <w:pStyle w:val="Compact"/>
              <w:jc w:val="left"/>
            </w:pPr>
            <w:r>
              <w:t xml:space="preserve">Decoupled trend</w:t>
            </w:r>
          </w:p>
        </w:tc>
        <w:tc>
          <w:p>
            <w:pPr>
              <w:pStyle w:val="Compact"/>
              <w:jc w:val="right"/>
            </w:pPr>
            <w:r>
              <w:t xml:space="preserve">149</w:t>
            </w:r>
          </w:p>
        </w:tc>
        <w:tc>
          <w:p>
            <w:pPr>
              <w:pStyle w:val="Compact"/>
              <w:jc w:val="right"/>
            </w:pPr>
            <w:r>
              <w:t xml:space="preserve">0.20</w:t>
            </w:r>
          </w:p>
        </w:tc>
      </w:tr>
      <w:tr>
        <w:tc>
          <w:p>
            <w:pPr>
              <w:pStyle w:val="Compact"/>
              <w:jc w:val="left"/>
            </w:pPr>
            <w:r>
              <w:t xml:space="preserve">Total metabolic flux</w:t>
            </w:r>
          </w:p>
        </w:tc>
        <w:tc>
          <w:p>
            <w:pPr>
              <w:pStyle w:val="Compact"/>
              <w:jc w:val="left"/>
            </w:pPr>
            <w:r>
              <w:t xml:space="preserve">Intercept-only</w:t>
            </w:r>
          </w:p>
        </w:tc>
        <w:tc>
          <w:p>
            <w:pPr>
              <w:pStyle w:val="Compact"/>
              <w:jc w:val="right"/>
            </w:pPr>
            <w:r>
              <w:t xml:space="preserve">230</w:t>
            </w:r>
          </w:p>
        </w:tc>
        <w:tc>
          <w:p>
            <w:pPr>
              <w:pStyle w:val="Compact"/>
              <w:jc w:val="right"/>
            </w:pPr>
            <w:r>
              <w:t xml:space="preserve">0.31</w:t>
            </w:r>
          </w:p>
        </w:tc>
      </w:tr>
      <w:tr>
        <w:tc>
          <w:p>
            <w:pPr>
              <w:pStyle w:val="Compact"/>
              <w:jc w:val="left"/>
            </w:pPr>
            <w:r>
              <w:t xml:space="preserve">Total metabolic flux</w:t>
            </w:r>
          </w:p>
        </w:tc>
        <w:tc>
          <w:p>
            <w:pPr>
              <w:pStyle w:val="Compact"/>
              <w:jc w:val="left"/>
            </w:pPr>
            <w:r>
              <w:t xml:space="preserve">Trend, not decoupled</w:t>
            </w:r>
          </w:p>
        </w:tc>
        <w:tc>
          <w:p>
            <w:pPr>
              <w:pStyle w:val="Compact"/>
              <w:jc w:val="right"/>
            </w:pPr>
            <w:r>
              <w:t xml:space="preserve">456</w:t>
            </w:r>
          </w:p>
        </w:tc>
        <w:tc>
          <w:p>
            <w:pPr>
              <w:pStyle w:val="Compact"/>
              <w:jc w:val="right"/>
            </w:pPr>
            <w:r>
              <w:t xml:space="preserve">0.62</w:t>
            </w:r>
          </w:p>
        </w:tc>
      </w:tr>
      <w:tr>
        <w:tc>
          <w:p>
            <w:pPr>
              <w:pStyle w:val="Compact"/>
              <w:jc w:val="left"/>
            </w:pPr>
            <w:r>
              <w:t xml:space="preserve">Total metabolic flux</w:t>
            </w:r>
          </w:p>
        </w:tc>
        <w:tc>
          <w:p>
            <w:pPr>
              <w:pStyle w:val="Compact"/>
              <w:jc w:val="left"/>
            </w:pPr>
            <w:r>
              <w:t xml:space="preserve">Decoupled trend</w:t>
            </w:r>
          </w:p>
        </w:tc>
        <w:tc>
          <w:p>
            <w:pPr>
              <w:pStyle w:val="Compact"/>
              <w:jc w:val="right"/>
            </w:pPr>
            <w:r>
              <w:t xml:space="preserve">53</w:t>
            </w:r>
          </w:p>
        </w:tc>
        <w:tc>
          <w:p>
            <w:pPr>
              <w:pStyle w:val="Compact"/>
              <w:jc w:val="right"/>
            </w:pPr>
            <w:r>
              <w:t xml:space="preserve">0.07</w:t>
            </w:r>
          </w:p>
        </w:tc>
      </w:tr>
    </w:tbl>
    <w:p>
      <w:pPr>
        <w:pStyle w:val="Heading4"/>
      </w:pPr>
      <w:bookmarkStart w:id="28" w:name="table-1.-selected-models."/>
      <w:r>
        <w:t xml:space="preserve">Table 1. Selected models.</w:t>
      </w:r>
      <w:bookmarkEnd w:id="28"/>
    </w:p>
    <w:p>
      <w:pPr>
        <w:pStyle w:val="FirstParagraph"/>
      </w:pPr>
      <w:r>
        <w:t xml:space="preserve">Table of the number and proportion of routes whose dynamics for total biomass and total energy use are best-fit by: a model with no temporal trend (intercept-only model,</w:t>
      </w:r>
      <w:r>
        <w:t xml:space="preserve"> </w:t>
      </w:r>
      <w:r>
        <w:rPr>
          <w:rStyle w:val="VerbatimChar"/>
        </w:rPr>
        <w:t xml:space="preserve">response ~ 1</w:t>
      </w:r>
      <w:r>
        <w:t xml:space="preserve">); a model with a temporal trend, but no difference in trend between observed and abundance-driven dynamics (</w:t>
      </w:r>
      <w:r>
        <w:rPr>
          <w:rStyle w:val="VerbatimChar"/>
        </w:rPr>
        <w:t xml:space="preserve">response ~ timeperiod</w:t>
      </w:r>
      <w:r>
        <w:t xml:space="preserve">); or a model with decoupled temporal trends for observed and abundance-driven dynamics (</w:t>
      </w:r>
      <w:r>
        <w:rPr>
          <w:rStyle w:val="VerbatimChar"/>
        </w:rPr>
        <w:t xml:space="preserve">response ~ timeperiod * dynamics</w:t>
      </w:r>
      <w:r>
        <w:t xml:space="preserve">, where</w:t>
      </w:r>
      <w:r>
        <w:t xml:space="preserve"> </w:t>
      </w:r>
      <w:r>
        <w:rPr>
          <w:rStyle w:val="VerbatimChar"/>
        </w:rPr>
        <w:t xml:space="preserve">dynamics</w:t>
      </w:r>
      <w:r>
        <w:t xml:space="preserve"> </w:t>
      </w:r>
      <w:r>
        <w:t xml:space="preserve">is either observed or abundance-driven/null model).</w:t>
      </w:r>
    </w:p>
    <w:p>
      <w:pPr>
        <w:pStyle w:val="BodyText"/>
      </w:pPr>
      <w:r>
        <w:t xml:space="preserve">For 31-32% of routes, models with trends do not outperform simple intercept-only models. For the remaining routes, in most instances, the dynamics of biomass and energy use exhibit a temporal trend, but with no detectable difference in the temporal trends for abundance-driven and observed dynamics.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w:t>
      </w:r>
    </w:p>
    <w:p>
      <w:pPr>
        <w:pStyle w:val="Heading3"/>
      </w:pPr>
      <w:bookmarkStart w:id="29" w:name="table-2."/>
      <w:r>
        <w:t xml:space="preserve">Table 2.</w:t>
      </w:r>
      <w:bookmarkEnd w:id="29"/>
    </w:p>
    <w:tbl>
      <w:tblPr>
        <w:tblStyle w:val="Table"/>
        <w:tblW w:type="pct" w:w="5000.0"/>
        <w:tblLook w:firstRow="1"/>
      </w:tblPr>
      <w:tblGrid>
        <w:gridCol w:w="1116"/>
        <w:gridCol w:w="2604"/>
        <w:gridCol w:w="2179"/>
        <w:gridCol w:w="2019"/>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Proportion of increasing abundance-driven trends</w:t>
            </w:r>
          </w:p>
        </w:tc>
        <w:tc>
          <w:tcPr>
            <w:tcBorders>
              <w:bottom w:val="single"/>
            </w:tcBorders>
            <w:vAlign w:val="bottom"/>
          </w:tcPr>
          <w:p>
            <w:pPr>
              <w:pStyle w:val="Compact"/>
              <w:jc w:val="right"/>
            </w:pPr>
            <w:r>
              <w:t xml:space="preserve">Proportion of increasing observed trends</w:t>
            </w:r>
          </w:p>
        </w:tc>
        <w:tc>
          <w:tcPr>
            <w:tcBorders>
              <w:bottom w:val="single"/>
            </w:tcBorders>
            <w:vAlign w:val="bottom"/>
          </w:tcPr>
          <w:p>
            <w:pPr>
              <w:pStyle w:val="Compact"/>
              <w:jc w:val="right"/>
            </w:pPr>
            <w:r>
              <w:t xml:space="preserve">Number of routes with temporal trends</w:t>
            </w:r>
          </w:p>
        </w:tc>
      </w:tr>
      <w:tr>
        <w:tc>
          <w:p>
            <w:pPr>
              <w:pStyle w:val="Compact"/>
              <w:jc w:val="left"/>
            </w:pPr>
            <w:r>
              <w:t xml:space="preserve">Total biomass</w:t>
            </w:r>
          </w:p>
        </w:tc>
        <w:tc>
          <w:p>
            <w:pPr>
              <w:pStyle w:val="Compact"/>
              <w:jc w:val="right"/>
            </w:pPr>
            <w:r>
              <w:t xml:space="preserve">0.33</w:t>
            </w:r>
          </w:p>
        </w:tc>
        <w:tc>
          <w:p>
            <w:pPr>
              <w:pStyle w:val="Compact"/>
              <w:jc w:val="right"/>
            </w:pPr>
            <w:r>
              <w:t xml:space="preserve">0.49</w:t>
            </w:r>
          </w:p>
        </w:tc>
        <w:tc>
          <w:p>
            <w:pPr>
              <w:pStyle w:val="Compact"/>
              <w:jc w:val="right"/>
            </w:pPr>
            <w:r>
              <w:t xml:space="preserve">500</w:t>
            </w:r>
          </w:p>
        </w:tc>
      </w:tr>
      <w:tr>
        <w:tc>
          <w:p>
            <w:pPr>
              <w:pStyle w:val="Compact"/>
              <w:jc w:val="left"/>
            </w:pPr>
            <w:r>
              <w:t xml:space="preserve">Total metabolic flux</w:t>
            </w:r>
          </w:p>
        </w:tc>
        <w:tc>
          <w:p>
            <w:pPr>
              <w:pStyle w:val="Compact"/>
              <w:jc w:val="right"/>
            </w:pPr>
            <w:r>
              <w:t xml:space="preserve">0.30</w:t>
            </w:r>
          </w:p>
        </w:tc>
        <w:tc>
          <w:p>
            <w:pPr>
              <w:pStyle w:val="Compact"/>
              <w:jc w:val="right"/>
            </w:pPr>
            <w:r>
              <w:t xml:space="preserve">0.35</w:t>
            </w:r>
          </w:p>
        </w:tc>
        <w:tc>
          <w:p>
            <w:pPr>
              <w:pStyle w:val="Compact"/>
              <w:jc w:val="right"/>
            </w:pPr>
            <w:r>
              <w:t xml:space="preserve">509</w:t>
            </w:r>
          </w:p>
        </w:tc>
      </w:tr>
    </w:tbl>
    <w:p>
      <w:pPr>
        <w:pStyle w:val="Heading4"/>
      </w:pPr>
      <w:bookmarkStart w:id="30" w:name="X7cf9e2c66cae91482f0f316d0c0dac24358c362"/>
      <w:r>
        <w:t xml:space="preserve">Table 2. Direction of temporal trends in abundance-driven and observed dynamics.</w:t>
      </w:r>
      <w:bookmarkEnd w:id="30"/>
    </w:p>
    <w:p>
      <w:pPr>
        <w:pStyle w:val="FirstParagraph"/>
      </w:pPr>
      <w:r>
        <w:t xml:space="preserve">Restricted to the routes exhibiting temporal trends in total biomass and total metabolic flux, the proportion of trends that are increasing (specifically, the ratio of the last fitted value to the first fitted value &gt; 1) for abundance-driven and observed dynamics. Trends that are not increasing are decreasing.</w:t>
      </w:r>
    </w:p>
    <w:p>
      <w:pPr>
        <w:pStyle w:val="BodyText"/>
      </w:pPr>
      <w:r>
        <w:t xml:space="preserve">Trends in abundance-driven dynamics are dominated by</w:t>
      </w:r>
      <w:r>
        <w:t xml:space="preserve"> </w:t>
      </w:r>
      <w:r>
        <w:rPr>
          <w:i/>
        </w:rPr>
        <w:t xml:space="preserve">declines</w:t>
      </w:r>
      <w:r>
        <w:t xml:space="preserve"> </w:t>
      </w:r>
      <w:r>
        <w:t xml:space="preserve">(67% of routes for total biomass, and 70% of routes for total energy). Observed dynamics for biomass differ qualitatively from the abundance-driven dynamics; observed trends in biomass are evenly divided between increases and decreases (49% increasing). Observed trends in energy use more closely mirror abundance-driven trends (65% declines).</w:t>
      </w:r>
    </w:p>
    <w:p>
      <w:r>
        <w:br w:type="page"/>
      </w:r>
    </w:p>
    <w:p>
      <w:pPr>
        <w:pStyle w:val="Heading1"/>
      </w:pPr>
      <w:bookmarkStart w:id="31" w:name="figure-3.-visualizing-decoupling"/>
      <w:r>
        <w:t xml:space="preserve">Figure 3. Visualizing decoupling</w:t>
      </w:r>
      <w:bookmarkEnd w:id="31"/>
    </w:p>
    <w:p>
      <w:pPr>
        <w:pStyle w:val="FirstParagraph"/>
      </w:pPr>
      <w:r>
        <w:drawing>
          <wp:inline>
            <wp:extent cx="5943600" cy="3241963"/>
            <wp:effectExtent b="0" l="0" r="0" t="0"/>
            <wp:docPr descr="" title="" id="1" name="Picture"/>
            <a:graphic>
              <a:graphicData uri="http://schemas.openxmlformats.org/drawingml/2006/picture">
                <pic:pic>
                  <pic:nvPicPr>
                    <pic:cNvPr descr="figures_and_tables_files/figure-docx/unnamed-chunk-8-1.png" id="0" name="Picture"/>
                    <pic:cNvPicPr>
                      <a:picLocks noChangeArrowheads="1" noChangeAspect="1"/>
                    </pic:cNvPicPr>
                  </pic:nvPicPr>
                  <pic:blipFill>
                    <a:blip r:embed="rId32"/>
                    <a:stretch>
                      <a:fillRect/>
                    </a:stretch>
                  </pic:blipFill>
                  <pic:spPr bwMode="auto">
                    <a:xfrm>
                      <a:off x="0" y="0"/>
                      <a:ext cx="5943600" cy="3241963"/>
                    </a:xfrm>
                    <a:prstGeom prst="rect">
                      <a:avLst/>
                    </a:prstGeom>
                    <a:noFill/>
                    <a:ln w="9525">
                      <a:noFill/>
                      <a:headEnd/>
                      <a:tailEnd/>
                    </a:ln>
                  </pic:spPr>
                </pic:pic>
              </a:graphicData>
            </a:graphic>
          </wp:inline>
        </w:drawing>
      </w:r>
    </w:p>
    <w:p>
      <w:pPr>
        <w:pStyle w:val="Heading4"/>
      </w:pPr>
      <w:bookmarkStart w:id="33" w:name="X789e5a960792e8dde223201740b01f26d2f25ba"/>
      <w:r>
        <w:t xml:space="preserve">Figure 3. Decoupling between abundance-driven and observed trends.</w:t>
      </w:r>
      <w:bookmarkEnd w:id="33"/>
    </w:p>
    <w:p>
      <w:pPr>
        <w:pStyle w:val="FirstParagraph"/>
      </w:pPr>
      <w:r>
        <w:t xml:space="preserve">Observed change (ratio of last fitted value to first fitted value, y-axis) in total biomass (left) and total metabolic flux (right) compared to the change expected only due to changes in total abundance (ratio of last fitted value to first fitted value, x-axis). Values greater than 1 (dashed horizontal and vertical lines) mark positive (increasing) trends, while values less than 1 are negative trends. Each point marks the fitted values from a Gamma log-link generalized linear model of the form</w:t>
      </w:r>
      <w:r>
        <w:t xml:space="preserve"> </w:t>
      </w:r>
      <w:r>
        <w:rPr>
          <w:rStyle w:val="VerbatimChar"/>
        </w:rPr>
        <w:t xml:space="preserve">response ~ year * dynamics</w:t>
      </w:r>
      <w:r>
        <w:t xml:space="preserve"> </w:t>
      </w:r>
      <w:r>
        <w:t xml:space="preserve">for a given route. This estimates separate long-term slopes for observed and abundance-driven dynamics. Points are colored corresponding to the best-fitting model (intercept-only, or</w:t>
      </w:r>
      <w:r>
        <w:t xml:space="preserve"> </w:t>
      </w:r>
      <w:r>
        <w:t xml:space="preserve">“</w:t>
      </w:r>
      <w:r>
        <w:t xml:space="preserve">no trend</w:t>
      </w:r>
      <w:r>
        <w:t xml:space="preserve">”</w:t>
      </w:r>
      <w:r>
        <w:t xml:space="preserve">; a slope for year but no difference in slopes between observed and abundance-driven dynamics, or</w:t>
      </w:r>
      <w:r>
        <w:t xml:space="preserve"> </w:t>
      </w:r>
      <w:r>
        <w:t xml:space="preserve">“</w:t>
      </w:r>
      <w:r>
        <w:t xml:space="preserve">coupled trend</w:t>
      </w:r>
      <w:r>
        <w:t xml:space="preserve">”</w:t>
      </w:r>
      <w:r>
        <w:t xml:space="preserve">, and separate slopes for observed and abundance-driven dynamics,</w:t>
      </w:r>
      <w:r>
        <w:t xml:space="preserve"> </w:t>
      </w:r>
      <w:r>
        <w:t xml:space="preserve">“</w:t>
      </w:r>
      <w:r>
        <w:t xml:space="preserve">decoupled trends</w:t>
      </w:r>
      <w:r>
        <w:t xml:space="preserve">”</w:t>
      </w:r>
      <w:r>
        <w:t xml:space="preserve">) for each route. Deviations from the 1:1 line (solid black line) reflect changes in the community size structure that modulate the relationship between total abundance and total biomass or energy use.</w:t>
      </w:r>
    </w:p>
    <w:p>
      <w:pPr>
        <w:pStyle w:val="BodyText"/>
      </w:pPr>
      <w:r>
        <w:t xml:space="preserve">Changes in total biomass and total energy use generally track changes driven by fluctuations in total abundance, with appreciable scatter around the 1:1 line. When this translates into a statistically detectable decoupling between observed and abundance-driven dynamics (</w:t>
      </w:r>
      <w:r>
        <w:t xml:space="preserve">“</w:t>
      </w:r>
      <w:r>
        <w:t xml:space="preserve">Decoupled trends</w:t>
      </w:r>
      <w:r>
        <w:t xml:space="preserve">”</w:t>
      </w:r>
      <w:r>
        <w:t xml:space="preserve">),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metabolic flux.</w:t>
      </w:r>
    </w:p>
    <w:p>
      <w:pPr>
        <w:pStyle w:val="BodyText"/>
      </w:pPr>
    </w:p>
    <w:p>
      <w:pPr>
        <w:pStyle w:val="Heading1"/>
      </w:pPr>
      <w:bookmarkStart w:id="34" w:name="Xa0785c6085fcc02dcc5e58fbd064fda7210e45f"/>
      <w:r>
        <w:t xml:space="preserve">Figure 4. How change in community structure translates into decoupling</w:t>
      </w:r>
      <w:bookmarkEnd w:id="34"/>
    </w:p>
    <w:p>
      <w:pPr>
        <w:pStyle w:val="FirstParagraph"/>
      </w:pPr>
      <w:r>
        <w:drawing>
          <wp:inline>
            <wp:extent cx="5943600" cy="3467100"/>
            <wp:effectExtent b="0" l="0" r="0" t="0"/>
            <wp:docPr descr="" title="" id="1" name="Picture"/>
            <a:graphic>
              <a:graphicData uri="http://schemas.openxmlformats.org/drawingml/2006/picture">
                <pic:pic>
                  <pic:nvPicPr>
                    <pic:cNvPr descr="figures_and_tables_files/figure-docx/unnamed-chunk-11-1.png" id="0" name="Picture"/>
                    <pic:cNvPicPr>
                      <a:picLocks noChangeArrowheads="1" noChangeAspect="1"/>
                    </pic:cNvPicPr>
                  </pic:nvPicPr>
                  <pic:blipFill>
                    <a:blip r:embed="rId35"/>
                    <a:stretch>
                      <a:fillRect/>
                    </a:stretch>
                  </pic:blipFill>
                  <pic:spPr bwMode="auto">
                    <a:xfrm>
                      <a:off x="0" y="0"/>
                      <a:ext cx="5943600" cy="3467100"/>
                    </a:xfrm>
                    <a:prstGeom prst="rect">
                      <a:avLst/>
                    </a:prstGeom>
                    <a:noFill/>
                    <a:ln w="9525">
                      <a:noFill/>
                      <a:headEnd/>
                      <a:tailEnd/>
                    </a:ln>
                  </pic:spPr>
                </pic:pic>
              </a:graphicData>
            </a:graphic>
          </wp:inline>
        </w:drawing>
      </w:r>
    </w:p>
    <w:p>
      <w:pPr>
        <w:pStyle w:val="Heading4"/>
      </w:pPr>
      <w:bookmarkStart w:id="36" w:name="X7f8135000bc5a650b0df27bc14c80f03923ddde"/>
      <w:r>
        <w:t xml:space="preserve">Figure 4. Histograms of change in community structure for routes showing no trends, coupled, and decoupled trends in abundance-driven and observed dynamics.</w:t>
      </w:r>
      <w:bookmarkEnd w:id="36"/>
    </w:p>
    <w:p>
      <w:pPr>
        <w:pStyle w:val="FirstParagraph"/>
      </w:pPr>
      <w:r>
        <w:t xml:space="preserve">Histograms of (A) change in mean body size from the first to the last five years of monitoring, (B) overall change in the size structure, and (C) change in species composition for routes whose dynamics for total biomass were best-described using no temporal trend (bottom row; intercept-only model), separate trends for observed and abundance-driven dynamics (middle row), or the same trend for observed and abundance-driven dynamics (top row). Change in mean body size (A) is calculated as the ratio of the mean body size of all individuals observed in the last 5 years of the timeseries relative to the mean body size of all individuals observed in the first 5 years. Overall change in the ISD (B) is calculated as the degree of turnover between the ISDs for the first and last five years of the timeseries (see text). Change in species composition (C) is Bray-Curtis dissimilarity comparing species composition in the first five years to the last five years.</w:t>
      </w:r>
    </w:p>
    <w:p>
      <w:pPr>
        <w:pStyle w:val="BodyText"/>
      </w:pPr>
      <w:r>
        <w:t xml:space="preserve">Routes that exhibit decoupling between observed and abundance-driven changes in total biomass exhibit a high prevalence of increases and decreases in mean body size (middle row, panel A) compared to the changes seen in routes that show either no trend or non-decoupled trends. However, routes with all three signatures of dynamics (coupling, decoupling, or no trend) are not detectably different in the degree of overall change in the ISD or in species composition over time (panels B and C).</w:t>
      </w:r>
    </w:p>
    <w:p>
      <w:r>
        <w:br w:type="page"/>
      </w:r>
    </w:p>
    <w:p>
      <w:pPr>
        <w:pStyle w:val="Heading1"/>
      </w:pPr>
      <w:bookmarkStart w:id="37" w:name="X329941fbf925a865bb3f957527cca1fb984c11e"/>
      <w:r>
        <w:t xml:space="preserve">Statistical comparisons of distributions in Figure 4</w:t>
      </w:r>
      <w:bookmarkEnd w:id="37"/>
    </w:p>
    <w:p>
      <w:pPr>
        <w:pStyle w:val="Heading3"/>
      </w:pPr>
      <w:bookmarkStart w:id="38" w:name="mean-mass"/>
      <w:r>
        <w:t xml:space="preserve">Mean mass</w:t>
      </w:r>
      <w:bookmarkEnd w:id="38"/>
    </w:p>
    <w:p>
      <w:pPr>
        <w:pStyle w:val="Heading4"/>
      </w:pPr>
      <w:bookmarkStart w:id="39" w:name="X97fb6f645103ada79213a8e53fd0c3b5041619c"/>
      <w:r>
        <w:t xml:space="preserve">Table 3. ANOVA comparing model type to intercept-only model for absolute log ratio of mean mass</w:t>
      </w:r>
      <w:bookmarkEnd w:id="39"/>
    </w:p>
    <w:tbl>
      <w:tblPr>
        <w:tblStyle w:val="Table"/>
        <w:tblW w:type="pct" w:w="0.0"/>
        <w:tblLook w:firstRow="1"/>
      </w:tblPr>
      <w:tblGrid/>
      <w:tr>
        <w:trPr>
          <w:cnfStyle w:firstRow="1"/>
        </w:trPr>
        <w:tc>
          <w:tcPr>
            <w:tcBorders>
              <w:bottom w:val="single"/>
            </w:tcBorders>
            <w:vAlign w:val="bottom"/>
          </w:tcPr>
          <w:p>
            <w:pPr>
              <w:pStyle w:val="Compact"/>
              <w:jc w:val="right"/>
            </w:pPr>
            <w:r>
              <w:t xml:space="preserve">Res.Df</w:t>
            </w:r>
          </w:p>
        </w:tc>
        <w:tc>
          <w:tcPr>
            <w:tcBorders>
              <w:bottom w:val="single"/>
            </w:tcBorders>
            <w:vAlign w:val="bottom"/>
          </w:tcPr>
          <w:p>
            <w:pPr>
              <w:pStyle w:val="Compact"/>
              <w:jc w:val="right"/>
            </w:pPr>
            <w:r>
              <w:t xml:space="preserve">RSS</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of Sq</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right"/>
            </w:pPr>
            <w:r>
              <w:t xml:space="preserve">736</w:t>
            </w:r>
          </w:p>
        </w:tc>
        <w:tc>
          <w:p>
            <w:pPr>
              <w:pStyle w:val="Compact"/>
              <w:jc w:val="right"/>
            </w:pPr>
            <w:r>
              <w:t xml:space="preserve">20.81159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738</w:t>
            </w:r>
          </w:p>
        </w:tc>
        <w:tc>
          <w:p>
            <w:pPr>
              <w:pStyle w:val="Compact"/>
              <w:jc w:val="right"/>
            </w:pPr>
            <w:r>
              <w:t xml:space="preserve">35.42466</w:t>
            </w:r>
          </w:p>
        </w:tc>
        <w:tc>
          <w:p>
            <w:pPr>
              <w:pStyle w:val="Compact"/>
              <w:jc w:val="right"/>
            </w:pPr>
            <w:r>
              <w:t xml:space="preserve">-2</w:t>
            </w:r>
          </w:p>
        </w:tc>
        <w:tc>
          <w:p>
            <w:pPr>
              <w:pStyle w:val="Compact"/>
              <w:jc w:val="right"/>
            </w:pPr>
            <w:r>
              <w:t xml:space="preserve">-14.61307</w:t>
            </w:r>
          </w:p>
        </w:tc>
        <w:tc>
          <w:p>
            <w:pPr>
              <w:pStyle w:val="Compact"/>
              <w:jc w:val="right"/>
            </w:pPr>
            <w:r>
              <w:t xml:space="preserve">258.395</w:t>
            </w:r>
          </w:p>
        </w:tc>
        <w:tc>
          <w:p>
            <w:pPr>
              <w:pStyle w:val="Compact"/>
              <w:jc w:val="right"/>
            </w:pPr>
            <w:r>
              <w:t xml:space="preserve">0</w:t>
            </w:r>
          </w:p>
        </w:tc>
      </w:tr>
    </w:tbl>
    <w:p>
      <w:pPr>
        <w:pStyle w:val="BodyText"/>
      </w:pPr>
      <w:r>
        <w:t xml:space="preserve">ANOVA comparing the models</w:t>
      </w:r>
      <w:r>
        <w:t xml:space="preserve"> </w:t>
      </w:r>
      <w:r>
        <w:rPr>
          <w:rStyle w:val="VerbatimChar"/>
        </w:rPr>
        <w:t xml:space="preserve">abs_log_ratio_mean_mass ~ best fitting model type</w:t>
      </w:r>
      <w:r>
        <w:t xml:space="preserve"> </w:t>
      </w:r>
      <w:r>
        <w:t xml:space="preserve">and</w:t>
      </w:r>
      <w:r>
        <w:t xml:space="preserve"> </w:t>
      </w:r>
      <w:r>
        <w:rPr>
          <w:rStyle w:val="VerbatimChar"/>
        </w:rPr>
        <w:t xml:space="preserve">abs_log_ratio_mean_mass ~ 1</w:t>
      </w:r>
      <w:r>
        <w:t xml:space="preserve">. The fit incorporating model type is superior to the intercept-only model (p &lt; 0.0001).</w:t>
      </w:r>
    </w:p>
    <w:p>
      <w:pPr>
        <w:pStyle w:val="Heading4"/>
      </w:pPr>
      <w:bookmarkStart w:id="40" w:name="Xa1a0e78df2caa150f5be8b35e518d7fea40064b"/>
      <w:r>
        <w:t xml:space="preserve">Table 4. Model estimates for absolute log ratio of mean mass for routes best-described by different dynamics.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categorical_fit</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Coupled trend</w:t>
            </w:r>
          </w:p>
        </w:tc>
        <w:tc>
          <w:p>
            <w:pPr>
              <w:pStyle w:val="Compact"/>
              <w:jc w:val="right"/>
            </w:pPr>
            <w:r>
              <w:t xml:space="preserve">0.2007265</w:t>
            </w:r>
          </w:p>
        </w:tc>
        <w:tc>
          <w:p>
            <w:pPr>
              <w:pStyle w:val="Compact"/>
              <w:jc w:val="right"/>
            </w:pPr>
            <w:r>
              <w:t xml:space="preserve">0.0089755</w:t>
            </w:r>
          </w:p>
        </w:tc>
        <w:tc>
          <w:p>
            <w:pPr>
              <w:pStyle w:val="Compact"/>
              <w:jc w:val="right"/>
            </w:pPr>
            <w:r>
              <w:t xml:space="preserve">736</w:t>
            </w:r>
          </w:p>
        </w:tc>
        <w:tc>
          <w:p>
            <w:pPr>
              <w:pStyle w:val="Compact"/>
              <w:jc w:val="right"/>
            </w:pPr>
            <w:r>
              <w:t xml:space="preserve">0.1831058</w:t>
            </w:r>
          </w:p>
        </w:tc>
        <w:tc>
          <w:p>
            <w:pPr>
              <w:pStyle w:val="Compact"/>
              <w:jc w:val="right"/>
            </w:pPr>
            <w:r>
              <w:t xml:space="preserve">0.2183472</w:t>
            </w:r>
          </w:p>
        </w:tc>
      </w:tr>
      <w:tr>
        <w:tc>
          <w:p>
            <w:pPr>
              <w:pStyle w:val="Compact"/>
              <w:jc w:val="left"/>
            </w:pPr>
            <w:r>
              <w:t xml:space="preserve">Decoupled trends</w:t>
            </w:r>
          </w:p>
        </w:tc>
        <w:tc>
          <w:p>
            <w:pPr>
              <w:pStyle w:val="Compact"/>
              <w:jc w:val="right"/>
            </w:pPr>
            <w:r>
              <w:t xml:space="preserve">0.5587675</w:t>
            </w:r>
          </w:p>
        </w:tc>
        <w:tc>
          <w:p>
            <w:pPr>
              <w:pStyle w:val="Compact"/>
              <w:jc w:val="right"/>
            </w:pPr>
            <w:r>
              <w:t xml:space="preserve">0.0137759</w:t>
            </w:r>
          </w:p>
        </w:tc>
        <w:tc>
          <w:p>
            <w:pPr>
              <w:pStyle w:val="Compact"/>
              <w:jc w:val="right"/>
            </w:pPr>
            <w:r>
              <w:t xml:space="preserve">736</w:t>
            </w:r>
          </w:p>
        </w:tc>
        <w:tc>
          <w:p>
            <w:pPr>
              <w:pStyle w:val="Compact"/>
              <w:jc w:val="right"/>
            </w:pPr>
            <w:r>
              <w:t xml:space="preserve">0.5317228</w:t>
            </w:r>
          </w:p>
        </w:tc>
        <w:tc>
          <w:p>
            <w:pPr>
              <w:pStyle w:val="Compact"/>
              <w:jc w:val="right"/>
            </w:pPr>
            <w:r>
              <w:t xml:space="preserve">0.5858123</w:t>
            </w:r>
          </w:p>
        </w:tc>
      </w:tr>
      <w:tr>
        <w:tc>
          <w:p>
            <w:pPr>
              <w:pStyle w:val="Compact"/>
              <w:jc w:val="left"/>
            </w:pPr>
            <w:r>
              <w:t xml:space="preserve">No trend</w:t>
            </w:r>
          </w:p>
        </w:tc>
        <w:tc>
          <w:p>
            <w:pPr>
              <w:pStyle w:val="Compact"/>
              <w:jc w:val="right"/>
            </w:pPr>
            <w:r>
              <w:t xml:space="preserve">0.2211238</w:t>
            </w:r>
          </w:p>
        </w:tc>
        <w:tc>
          <w:p>
            <w:pPr>
              <w:pStyle w:val="Compact"/>
              <w:jc w:val="right"/>
            </w:pPr>
            <w:r>
              <w:t xml:space="preserve">0.0108771</w:t>
            </w:r>
          </w:p>
        </w:tc>
        <w:tc>
          <w:p>
            <w:pPr>
              <w:pStyle w:val="Compact"/>
              <w:jc w:val="right"/>
            </w:pPr>
            <w:r>
              <w:t xml:space="preserve">736</w:t>
            </w:r>
          </w:p>
        </w:tc>
        <w:tc>
          <w:p>
            <w:pPr>
              <w:pStyle w:val="Compact"/>
              <w:jc w:val="right"/>
            </w:pPr>
            <w:r>
              <w:t xml:space="preserve">0.1997699</w:t>
            </w:r>
          </w:p>
        </w:tc>
        <w:tc>
          <w:p>
            <w:pPr>
              <w:pStyle w:val="Compact"/>
              <w:jc w:val="right"/>
            </w:pPr>
            <w:r>
              <w:t xml:space="preserve">0.2424777</w:t>
            </w:r>
          </w:p>
        </w:tc>
      </w:tr>
    </w:tbl>
    <w:p>
      <w:pPr>
        <w:pStyle w:val="BodyText"/>
      </w:pPr>
      <w:r>
        <w:t xml:space="preserve">Estimates (calculated using</w:t>
      </w:r>
      <w:r>
        <w:t xml:space="preserve"> </w:t>
      </w:r>
      <w:r>
        <w:rPr>
          <w:rStyle w:val="VerbatimChar"/>
        </w:rPr>
        <w:t xml:space="preserve">emmeans</w:t>
      </w:r>
      <w:r>
        <w:t xml:space="preserve"> </w:t>
      </w:r>
      <w:r>
        <w:t xml:space="preserve">(Lenth 2021)</w:t>
      </w:r>
      <w:r>
        <w:t xml:space="preserve">) for the mean absolute log ratio of mean mass for routes whose dynamics for biomass best-described by different model types. Routes with decoupled long-term trends between biomass and abundance-driven dynamics have higher absolute log ratios (mean .56, 95% credible interval .53-.58) than routes with covarying trends in biomass and abundance (mean of .2; 95% interval .18-.22) or no detectable temporal trend (mean of .22; .2-.24).</w:t>
      </w:r>
    </w:p>
    <w:p>
      <w:pPr>
        <w:pStyle w:val="Heading4"/>
      </w:pPr>
      <w:bookmarkStart w:id="41" w:name="X51e116dfa66cf8d4a2ce0e929da0256af398f28"/>
      <w:r>
        <w:t xml:space="preserve">Table 5. Contrasts for absolute log ratio of mean mass.</w:t>
      </w:r>
      <w:bookmarkEnd w:id="41"/>
    </w:p>
    <w:tbl>
      <w:tblPr>
        <w:tblStyle w:val="Table"/>
        <w:tblW w:type="pct" w:w="5000.0"/>
        <w:tblLook w:firstRow="1"/>
      </w:tblPr>
      <w:tblGrid>
        <w:gridCol w:w="3308"/>
        <w:gridCol w:w="1102"/>
        <w:gridCol w:w="1002"/>
        <w:gridCol w:w="401"/>
        <w:gridCol w:w="1102"/>
        <w:gridCol w:w="1002"/>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Coupled trend - Decoupled trends</w:t>
            </w:r>
          </w:p>
        </w:tc>
        <w:tc>
          <w:p>
            <w:pPr>
              <w:pStyle w:val="Compact"/>
              <w:jc w:val="right"/>
            </w:pPr>
            <w:r>
              <w:t xml:space="preserve">-0.3580410</w:t>
            </w:r>
          </w:p>
        </w:tc>
        <w:tc>
          <w:p>
            <w:pPr>
              <w:pStyle w:val="Compact"/>
              <w:jc w:val="right"/>
            </w:pPr>
            <w:r>
              <w:t xml:space="preserve">0.0164419</w:t>
            </w:r>
          </w:p>
        </w:tc>
        <w:tc>
          <w:p>
            <w:pPr>
              <w:pStyle w:val="Compact"/>
              <w:jc w:val="right"/>
            </w:pPr>
            <w:r>
              <w:t xml:space="preserve">736</w:t>
            </w:r>
          </w:p>
        </w:tc>
        <w:tc>
          <w:p>
            <w:pPr>
              <w:pStyle w:val="Compact"/>
              <w:jc w:val="right"/>
            </w:pPr>
            <w:r>
              <w:t xml:space="preserve">-21.776134</w:t>
            </w:r>
          </w:p>
        </w:tc>
        <w:tc>
          <w:p>
            <w:pPr>
              <w:pStyle w:val="Compact"/>
              <w:jc w:val="right"/>
            </w:pPr>
            <w:r>
              <w:t xml:space="preserve">0.0000000</w:t>
            </w:r>
          </w:p>
        </w:tc>
      </w:tr>
      <w:tr>
        <w:tc>
          <w:p>
            <w:pPr>
              <w:pStyle w:val="Compact"/>
              <w:jc w:val="left"/>
            </w:pPr>
            <w:r>
              <w:t xml:space="preserve">Coupled trend - No trend</w:t>
            </w:r>
          </w:p>
        </w:tc>
        <w:tc>
          <w:p>
            <w:pPr>
              <w:pStyle w:val="Compact"/>
              <w:jc w:val="right"/>
            </w:pPr>
            <w:r>
              <w:t xml:space="preserve">-0.0203973</w:t>
            </w:r>
          </w:p>
        </w:tc>
        <w:tc>
          <w:p>
            <w:pPr>
              <w:pStyle w:val="Compact"/>
              <w:jc w:val="right"/>
            </w:pPr>
            <w:r>
              <w:t xml:space="preserve">0.0141022</w:t>
            </w:r>
          </w:p>
        </w:tc>
        <w:tc>
          <w:p>
            <w:pPr>
              <w:pStyle w:val="Compact"/>
              <w:jc w:val="right"/>
            </w:pPr>
            <w:r>
              <w:t xml:space="preserve">736</w:t>
            </w:r>
          </w:p>
        </w:tc>
        <w:tc>
          <w:p>
            <w:pPr>
              <w:pStyle w:val="Compact"/>
              <w:jc w:val="right"/>
            </w:pPr>
            <w:r>
              <w:t xml:space="preserve">-1.446391</w:t>
            </w:r>
          </w:p>
        </w:tc>
        <w:tc>
          <w:p>
            <w:pPr>
              <w:pStyle w:val="Compact"/>
              <w:jc w:val="right"/>
            </w:pPr>
            <w:r>
              <w:t xml:space="preserve">0.3176979</w:t>
            </w:r>
          </w:p>
        </w:tc>
      </w:tr>
      <w:tr>
        <w:tc>
          <w:p>
            <w:pPr>
              <w:pStyle w:val="Compact"/>
              <w:jc w:val="left"/>
            </w:pPr>
            <w:r>
              <w:t xml:space="preserve">Decoupled trends - No trend</w:t>
            </w:r>
          </w:p>
        </w:tc>
        <w:tc>
          <w:p>
            <w:pPr>
              <w:pStyle w:val="Compact"/>
              <w:jc w:val="right"/>
            </w:pPr>
            <w:r>
              <w:t xml:space="preserve">0.3376437</w:t>
            </w:r>
          </w:p>
        </w:tc>
        <w:tc>
          <w:p>
            <w:pPr>
              <w:pStyle w:val="Compact"/>
              <w:jc w:val="right"/>
            </w:pPr>
            <w:r>
              <w:t xml:space="preserve">0.0175524</w:t>
            </w:r>
          </w:p>
        </w:tc>
        <w:tc>
          <w:p>
            <w:pPr>
              <w:pStyle w:val="Compact"/>
              <w:jc w:val="right"/>
            </w:pPr>
            <w:r>
              <w:t xml:space="preserve">736</w:t>
            </w:r>
          </w:p>
        </w:tc>
        <w:tc>
          <w:p>
            <w:pPr>
              <w:pStyle w:val="Compact"/>
              <w:jc w:val="right"/>
            </w:pPr>
            <w:r>
              <w:t xml:space="preserve">19.236285</w:t>
            </w:r>
          </w:p>
        </w:tc>
        <w:tc>
          <w:p>
            <w:pPr>
              <w:pStyle w:val="Compact"/>
              <w:jc w:val="right"/>
            </w:pPr>
            <w:r>
              <w:t xml:space="preserve">0.0000000</w:t>
            </w:r>
          </w:p>
        </w:tc>
      </w:tr>
    </w:tbl>
    <w:p>
      <w:pPr>
        <w:pStyle w:val="BodyText"/>
      </w:pPr>
      <w:r>
        <w:t xml:space="preserve">Contrasts for the above comparisons. There is a significant contrast between routes with decoupled trends and the other two types of dynamics (both contrasts, p &lt; 0.001), but not between</w:t>
      </w:r>
      <w:r>
        <w:t xml:space="preserve"> </w:t>
      </w:r>
      <w:r>
        <w:t xml:space="preserve">“</w:t>
      </w:r>
      <w:r>
        <w:t xml:space="preserve">no trend</w:t>
      </w:r>
      <w:r>
        <w:t xml:space="preserve">”</w:t>
      </w:r>
      <w:r>
        <w:t xml:space="preserve"> </w:t>
      </w:r>
      <w:r>
        <w:t xml:space="preserve">and</w:t>
      </w:r>
      <w:r>
        <w:t xml:space="preserve"> </w:t>
      </w:r>
      <w:r>
        <w:t xml:space="preserve">“</w:t>
      </w:r>
      <w:r>
        <w:t xml:space="preserve">coupled trend</w:t>
      </w:r>
      <w:r>
        <w:t xml:space="preserve">”</w:t>
      </w:r>
      <w:r>
        <w:t xml:space="preserve"> </w:t>
      </w:r>
      <w:r>
        <w:t xml:space="preserve">routes (contrast p = .31).</w:t>
      </w:r>
    </w:p>
    <w:p>
      <w:pPr>
        <w:pStyle w:val="Heading3"/>
      </w:pPr>
      <w:bookmarkStart w:id="42" w:name="isd-turnover"/>
      <w:r>
        <w:t xml:space="preserve">ISD turnover</w:t>
      </w:r>
      <w:bookmarkEnd w:id="42"/>
    </w:p>
    <w:p>
      <w:pPr>
        <w:pStyle w:val="Heading4"/>
      </w:pPr>
      <w:bookmarkStart w:id="43" w:name="table-6.-anova-for-turnover-in-the-isd"/>
      <w:r>
        <w:t xml:space="preserve">Table 6. ANOVA for turnover in the ISD</w:t>
      </w:r>
      <w:bookmarkEnd w:id="43"/>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736</w:t>
            </w:r>
          </w:p>
        </w:tc>
        <w:tc>
          <w:p>
            <w:pPr>
              <w:pStyle w:val="Compact"/>
              <w:jc w:val="right"/>
            </w:pPr>
            <w:r>
              <w:t xml:space="preserve">14.09312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738</w:t>
            </w:r>
          </w:p>
        </w:tc>
        <w:tc>
          <w:p>
            <w:pPr>
              <w:pStyle w:val="Compact"/>
              <w:jc w:val="right"/>
            </w:pPr>
            <w:r>
              <w:t xml:space="preserve">14.28236</w:t>
            </w:r>
          </w:p>
        </w:tc>
        <w:tc>
          <w:p>
            <w:pPr>
              <w:pStyle w:val="Compact"/>
              <w:jc w:val="right"/>
            </w:pPr>
            <w:r>
              <w:t xml:space="preserve">-2</w:t>
            </w:r>
          </w:p>
        </w:tc>
        <w:tc>
          <w:p>
            <w:pPr>
              <w:pStyle w:val="Compact"/>
              <w:jc w:val="right"/>
            </w:pPr>
            <w:r>
              <w:t xml:space="preserve">-0.1892428</w:t>
            </w:r>
          </w:p>
        </w:tc>
        <w:tc>
          <w:p>
            <w:pPr>
              <w:pStyle w:val="Compact"/>
              <w:jc w:val="right"/>
            </w:pPr>
            <w:r>
              <w:t xml:space="preserve">0.9097173</w:t>
            </w:r>
          </w:p>
        </w:tc>
      </w:tr>
    </w:tbl>
    <w:p>
      <w:pPr>
        <w:pStyle w:val="Heading3"/>
      </w:pPr>
      <w:bookmarkStart w:id="44" w:name="species-compositional-turnover"/>
      <w:r>
        <w:t xml:space="preserve">Species compositional turnover</w:t>
      </w:r>
      <w:bookmarkEnd w:id="44"/>
    </w:p>
    <w:p>
      <w:pPr>
        <w:pStyle w:val="Heading4"/>
      </w:pPr>
      <w:bookmarkStart w:id="45" w:name="Xeae39b1a47ed5fc7f2aee1aff9dcce7e4187095"/>
      <w:r>
        <w:t xml:space="preserve">Table 7. ANOVA for Bray-Curtis dissimilarity</w:t>
      </w:r>
      <w:bookmarkEnd w:id="45"/>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736</w:t>
            </w:r>
          </w:p>
        </w:tc>
        <w:tc>
          <w:p>
            <w:pPr>
              <w:pStyle w:val="Compact"/>
              <w:jc w:val="right"/>
            </w:pPr>
            <w:r>
              <w:t xml:space="preserve">20.10447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738</w:t>
            </w:r>
          </w:p>
        </w:tc>
        <w:tc>
          <w:p>
            <w:pPr>
              <w:pStyle w:val="Compact"/>
              <w:jc w:val="right"/>
            </w:pPr>
            <w:r>
              <w:t xml:space="preserve">22.11983</w:t>
            </w:r>
          </w:p>
        </w:tc>
        <w:tc>
          <w:p>
            <w:pPr>
              <w:pStyle w:val="Compact"/>
              <w:jc w:val="right"/>
            </w:pPr>
            <w:r>
              <w:t xml:space="preserve">-2</w:t>
            </w:r>
          </w:p>
        </w:tc>
        <w:tc>
          <w:p>
            <w:pPr>
              <w:pStyle w:val="Compact"/>
              <w:jc w:val="right"/>
            </w:pPr>
            <w:r>
              <w:t xml:space="preserve">-2.015363</w:t>
            </w:r>
          </w:p>
        </w:tc>
        <w:tc>
          <w:p>
            <w:pPr>
              <w:pStyle w:val="Compact"/>
              <w:jc w:val="right"/>
            </w:pPr>
            <w:r>
              <w:t xml:space="preserve">0.3650643</w:t>
            </w:r>
          </w:p>
        </w:tc>
      </w:tr>
    </w:tbl>
    <w:p>
      <w:pPr>
        <w:pStyle w:val="BodyText"/>
      </w:pPr>
      <w:r>
        <w:t xml:space="preserve">ANOVA comparing a binomial GLM of the form</w:t>
      </w:r>
      <w:r>
        <w:t xml:space="preserve"> </w:t>
      </w:r>
      <w:r>
        <w:rPr>
          <w:rStyle w:val="VerbatimChar"/>
        </w:rPr>
        <w:t xml:space="preserve">bray curtis dissimilarity ~ best fitting model type</w:t>
      </w:r>
      <w:r>
        <w:t xml:space="preserve"> </w:t>
      </w:r>
      <w:r>
        <w:t xml:space="preserve">to an intercept-only model. The</w:t>
      </w:r>
      <w:r>
        <w:t xml:space="preserve"> </w:t>
      </w:r>
      <w:r>
        <w:rPr>
          <w:rStyle w:val="VerbatimChar"/>
        </w:rPr>
        <w:t xml:space="preserve">best fitting model type</w:t>
      </w:r>
      <w:r>
        <w:t xml:space="preserve"> </w:t>
      </w:r>
      <w:r>
        <w:t xml:space="preserve">model is not superior to the intercept only model (p = .37).</w:t>
      </w:r>
    </w:p>
    <w:p>
      <w:r>
        <w:br w:type="page"/>
      </w:r>
    </w:p>
    <w:p>
      <w:pPr>
        <w:pStyle w:val="Heading1"/>
      </w:pPr>
      <w:bookmarkStart w:id="46" w:name="references"/>
      <w:r>
        <w:t xml:space="preserve">References</w:t>
      </w:r>
      <w:bookmarkEnd w:id="46"/>
    </w:p>
    <w:bookmarkStart w:id="48" w:name="refs"/>
    <w:bookmarkStart w:id="47" w:name="ref-lenth2021"/>
    <w:p>
      <w:pPr>
        <w:pStyle w:val="Bibliography"/>
      </w:pPr>
      <w:r>
        <w:t xml:space="preserve">Lenth, R. V. 2021. Emmeans: Estimated Marginal Means, aka Least-Squares Means.</w:t>
      </w:r>
    </w:p>
    <w:bookmarkEnd w:id="47"/>
    <w:bookmarkEnd w:id="48"/>
    <w:sectPr w:rsidR="00BC0F0B" w:rsidRPr="00F277A7">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2022-03-07T19:17:01Z</dcterms:created>
  <dcterms:modified xsi:type="dcterms:W3CDTF">2022-03-07T19:17:01Z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