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38C100B6" w14:textId="2E1BDB91" w:rsidR="009D1CF2" w:rsidRDefault="009D1CF2" w:rsidP="00A642E9">
      <w:r>
        <w:rPr>
          <w:b/>
          <w:bCs/>
        </w:rPr>
        <w:t xml:space="preserve">Running title: </w:t>
      </w:r>
      <w:r>
        <w:t>Size shifts of North American bird communities</w:t>
      </w:r>
    </w:p>
    <w:p w14:paraId="7DC3040B" w14:textId="77777777" w:rsidR="009D1CF2" w:rsidRDefault="009D1CF2">
      <w:pPr>
        <w:spacing w:before="0" w:after="0" w:line="276" w:lineRule="auto"/>
      </w:pPr>
      <w:r>
        <w:br w:type="page"/>
      </w:r>
    </w:p>
    <w:p w14:paraId="4C6086B0" w14:textId="7A104F19" w:rsidR="009D1CF2" w:rsidRPr="009D1CF2" w:rsidRDefault="009D1CF2" w:rsidP="00EB2C50">
      <w:pPr>
        <w:pStyle w:val="Heading1"/>
      </w:pPr>
      <w:r>
        <w:lastRenderedPageBreak/>
        <w:t>Abstract</w:t>
      </w:r>
    </w:p>
    <w:p w14:paraId="1CE8C286" w14:textId="4103FEDC" w:rsidR="00EB2C50" w:rsidRDefault="00EB2C50" w:rsidP="00EB2C50">
      <w:pPr>
        <w:pStyle w:val="Heading2"/>
      </w:pPr>
      <w:r>
        <w:t>Aim:</w:t>
      </w:r>
      <w:r w:rsidR="000B6CE3">
        <w:t xml:space="preserve"> </w:t>
      </w:r>
    </w:p>
    <w:p w14:paraId="51551A15" w14:textId="790D2D24" w:rsidR="000B6CE3" w:rsidRPr="000B6CE3" w:rsidRDefault="000B6CE3" w:rsidP="000B6CE3">
      <w:r>
        <w:t xml:space="preserve">To establish how changes in community size composition modulate the long-term relationships between total abundance, total biomass, and total energy use for North American birds. </w:t>
      </w:r>
    </w:p>
    <w:p w14:paraId="54053240" w14:textId="13C9C22D" w:rsidR="00EB2C50" w:rsidRDefault="00EB2C50" w:rsidP="00EB2C50">
      <w:pPr>
        <w:pStyle w:val="Heading2"/>
      </w:pPr>
      <w:r>
        <w:t>Location:</w:t>
      </w:r>
      <w:r w:rsidR="000B6CE3">
        <w:t xml:space="preserve"> </w:t>
      </w:r>
    </w:p>
    <w:p w14:paraId="3E2AF677" w14:textId="76AF3DC9" w:rsidR="000B6CE3" w:rsidRPr="000B6CE3" w:rsidRDefault="000B6CE3" w:rsidP="000B6CE3">
      <w:r>
        <w:t>North America, north of Mexico.</w:t>
      </w:r>
    </w:p>
    <w:p w14:paraId="0B913849" w14:textId="6CB23F3B" w:rsidR="00EB2C50" w:rsidRDefault="00EB2C50" w:rsidP="00EB2C50">
      <w:pPr>
        <w:pStyle w:val="Heading2"/>
      </w:pPr>
      <w:r>
        <w:t>Time period:</w:t>
      </w:r>
    </w:p>
    <w:p w14:paraId="0D30AD74" w14:textId="08565F29" w:rsidR="000B6CE3" w:rsidRPr="000B6CE3" w:rsidRDefault="000B6CE3" w:rsidP="000B6CE3">
      <w:r>
        <w:t>1988-2018.</w:t>
      </w:r>
    </w:p>
    <w:p w14:paraId="7872B5E8" w14:textId="766A6E43" w:rsidR="00EB2C50" w:rsidRDefault="00EB2C50" w:rsidP="00EB2C50">
      <w:pPr>
        <w:pStyle w:val="Heading2"/>
      </w:pPr>
      <w:r>
        <w:t>Major taxa studied:</w:t>
      </w:r>
    </w:p>
    <w:p w14:paraId="6C14E8A3" w14:textId="02E5B4D9" w:rsidR="000B6CE3" w:rsidRPr="000B6CE3" w:rsidRDefault="000B6CE3" w:rsidP="000B6CE3">
      <w:r>
        <w:t>Breeding birds.</w:t>
      </w:r>
    </w:p>
    <w:p w14:paraId="430B8E04" w14:textId="77777777" w:rsidR="00EB2C50" w:rsidRDefault="00EB2C50" w:rsidP="00EB2C50">
      <w:pPr>
        <w:pStyle w:val="Heading2"/>
      </w:pPr>
      <w:r>
        <w:t>Methods:</w:t>
      </w:r>
    </w:p>
    <w:p w14:paraId="4FCB1C6B" w14:textId="77777777" w:rsidR="00EB2C50" w:rsidRDefault="00EB2C50" w:rsidP="00EB2C50">
      <w:pPr>
        <w:pStyle w:val="Heading2"/>
      </w:pPr>
      <w:r>
        <w:t>Results:</w:t>
      </w:r>
    </w:p>
    <w:p w14:paraId="05CF3A12" w14:textId="77777777" w:rsidR="00EB2C50" w:rsidRDefault="00EB2C50" w:rsidP="00EB2C50">
      <w:pPr>
        <w:pStyle w:val="Heading2"/>
      </w:pPr>
      <w:r>
        <w:t>Main conclusions:</w:t>
      </w:r>
    </w:p>
    <w:p w14:paraId="446DCB0D" w14:textId="7BF504B7" w:rsidR="00EB2C50" w:rsidRDefault="00EB2C50" w:rsidP="00EB2C50">
      <w:pPr>
        <w:pStyle w:val="Heading1"/>
      </w:pPr>
      <w:r>
        <w:t xml:space="preserve">Keywords </w:t>
      </w:r>
    </w:p>
    <w:p w14:paraId="0A6B78B1" w14:textId="1DEA6693" w:rsidR="002C5982" w:rsidRDefault="002C5982" w:rsidP="00EB2C50">
      <w:r>
        <w:br w:type="page"/>
      </w:r>
    </w:p>
    <w:p w14:paraId="0651DBB1" w14:textId="0ADE3A33" w:rsidR="00D22527" w:rsidRDefault="008054E9">
      <w:pPr>
        <w:pStyle w:val="Heading1"/>
      </w:pPr>
      <w:commentRangeStart w:id="1"/>
      <w:r>
        <w:lastRenderedPageBreak/>
        <w:t>Introduction</w:t>
      </w:r>
      <w:bookmarkEnd w:id="0"/>
      <w:commentRangeEnd w:id="1"/>
      <w:r w:rsidR="000552BC">
        <w:rPr>
          <w:rStyle w:val="CommentReference"/>
          <w:b w:val="0"/>
        </w:rPr>
        <w:commentReference w:id="1"/>
      </w:r>
    </w:p>
    <w:p w14:paraId="0D65BDFE" w14:textId="7EAFB9AA" w:rsidR="00D22527" w:rsidRDefault="008054E9">
      <w:r>
        <w:t>Understanding the interrelated dynamics of size- and -abundance based dimensions of biodiversity is key to understanding biodiversity change in the Anthropocene. Total abundance - i.e.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Dornelas et al. 2011, Connolly et al. 2005, White et al. 2007). While these currencies are naturally linked (Morlon et al. 2009, Henderson and Magurran 2010), changes in size composition can decouple the dynamics of one currency from another (Ernest et al. 2009, Dornelas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hanges in size composition strong enough to decouple currencies may be symptomatic of important changes in ecosystem status- e.g.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Or,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(Holling 1992).</w:t>
      </w:r>
    </w:p>
    <w:p w14:paraId="27D78BDE" w14:textId="77777777" w:rsidR="00D22527" w:rsidRDefault="008054E9">
      <w:r>
        <w:t>It is important to improve our understanding of these dynamics for terrestrial animal communities in particular.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(with the exception of small mammal studies, which have made major contributions to our understanding of the dynamics of size, abundance, and function for these systems; White et al. 2004, Ernest 2005, Hernández et al. 2011, Kelt et al. 2015). Global, continental, or population-wide studies capture different phenomena (White et al. 2007, McGill et al. 2015). The ISDs for terrestrial animals, and specifically for determinate growing taxa (e.g. mammals, birds), are often complex, multimodal distributions strongly determined by community </w:t>
      </w:r>
      <w:r>
        <w:rPr>
          <w:i/>
        </w:rPr>
        <w:t>species</w:t>
      </w:r>
      <w:r>
        <w:t xml:space="preserve"> composition (Holling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dynamics?;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2" w:name="methods"/>
      <w:r>
        <w:t>Methods</w:t>
      </w:r>
      <w:bookmarkEnd w:id="2"/>
    </w:p>
    <w:p w14:paraId="0B241A3B" w14:textId="30711C22" w:rsidR="00850BD3" w:rsidRPr="00850BD3" w:rsidRDefault="00850BD3" w:rsidP="00850BD3">
      <w:r>
        <w:t xml:space="preserve">Code to replicate these analyses is available online </w:t>
      </w:r>
      <w:r w:rsidR="00621261">
        <w:t xml:space="preserve">on GitHub. For the purposes of double-blind review, a copy is available at </w:t>
      </w:r>
      <w:commentRangeStart w:id="3"/>
      <w:r w:rsidR="00621261">
        <w:t xml:space="preserve">[]. </w:t>
      </w:r>
      <w:commentRangeEnd w:id="3"/>
      <w:r w:rsidR="00621261">
        <w:rPr>
          <w:rStyle w:val="CommentReference"/>
        </w:rPr>
        <w:commentReference w:id="3"/>
      </w:r>
    </w:p>
    <w:p w14:paraId="559C3D96" w14:textId="77777777" w:rsidR="00D22527" w:rsidRDefault="008054E9">
      <w:pPr>
        <w:pStyle w:val="Heading2"/>
      </w:pPr>
      <w:bookmarkStart w:id="4" w:name="bird-abundance-data"/>
      <w:r>
        <w:t>Bird abundance data</w:t>
      </w:r>
      <w:bookmarkEnd w:id="4"/>
    </w:p>
    <w:p w14:paraId="65F3898B" w14:textId="573F99A5" w:rsidR="00D22527" w:rsidRDefault="008054E9">
      <w:r>
        <w:t xml:space="preserve">We used data from the Breeding Bird Survey (Pardieck et al. 2019) to evaluate trends in abundance, biomass, and energy use. The Breeding Bird Survey consists of roughly </w:t>
      </w:r>
      <w:r w:rsidR="007E1233">
        <w:t>40 kilometer</w:t>
      </w:r>
      <w:r>
        <w:t xml:space="preserve">-long survey routes distributed throughout the United States and Canada. Routes are surveyed annually during the breeding season (predominately May-June), via 50 3-minute point counts during which all birds seen or heard are identified to species (Pardieck et al. 2019). Sampling began in 1966, and routes have been added over time to a current total of roughly 3000 routes (Pardieck et al. (2019)) We explored trends in abundance, biomass, and energy use over the 30-year time period from 1989-2018. We selected these years to provide a temporal window sufficient to detect </w:t>
      </w:r>
      <w:r w:rsidR="00B15E64">
        <w:t xml:space="preserve">long-term </w:t>
      </w:r>
      <w:r>
        <w:t>trends (Cusser et al. (2020)),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5" w:name="estimated-size-data"/>
      <w:r>
        <w:t>Estimated size data</w:t>
      </w:r>
      <w:bookmarkEnd w:id="5"/>
    </w:p>
    <w:p w14:paraId="07CA21CB" w14:textId="01A30935"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year, but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in a given year, we compute total energy use, total biomass, and total abundance by summing over all individuals observed on that route in that year. This method does not incorporate intraspecific variation in body size across geographies or over time (Dunning 2008, Gardner et al. 2011). </w:t>
      </w:r>
      <w:r w:rsidR="008054E9">
        <w:lastRenderedPageBreak/>
        <w:t>However, it makes it possible to conduct macroecological studies of avian size distributions at a spatial and temporal scale that would otherwise be impossible (Thibault et al. 2011).</w:t>
      </w:r>
      <w:r w:rsidR="00B2276E">
        <w:t xml:space="preserve"> </w:t>
      </w:r>
    </w:p>
    <w:p w14:paraId="707F274F" w14:textId="77777777" w:rsidR="00D22527" w:rsidRDefault="008054E9">
      <w:pPr>
        <w:pStyle w:val="Heading2"/>
      </w:pPr>
      <w:bookmarkStart w:id="6" w:name="X90d0b1b91c64e61859763165be56ef0aa57a358"/>
      <w:r>
        <w:t>Comparing abundance- and size- based currencies</w:t>
      </w:r>
      <w:bookmarkEnd w:id="6"/>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(e.g.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1A16DE85" w:rsidR="00D22527" w:rsidRDefault="00287818">
      <w:r>
        <w:t>Therefore, r</w:t>
      </w:r>
      <w:r w:rsidR="008054E9">
        <w:t>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 “abundance-driven” dynamics.</w:t>
      </w:r>
    </w:p>
    <w:p w14:paraId="653E0013" w14:textId="77777777" w:rsidR="00D22527" w:rsidRDefault="008054E9">
      <w:pPr>
        <w:pStyle w:val="Heading2"/>
      </w:pPr>
      <w:bookmarkStart w:id="7" w:name="long-term-trends"/>
      <w:r>
        <w:t>Long-term trends</w:t>
      </w:r>
      <w:bookmarkEnd w:id="7"/>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strictly-positive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w:t>
      </w:r>
      <w:r>
        <w:lastRenderedPageBreak/>
        <w:t>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This model fits a temporal trend, but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AICc. In instances where multiple models had AICc scores within two AICc units of the best-fitting model, we selected the simplest model within two </w:t>
      </w:r>
      <w:r w:rsidR="00E94A81">
        <w:t xml:space="preserve">AICc </w:t>
      </w:r>
      <w:r>
        <w:t>units of the best score.</w:t>
      </w:r>
    </w:p>
    <w:p w14:paraId="28DE5DBB" w14:textId="77777777" w:rsidR="00D22527" w:rsidRDefault="008054E9">
      <w:r>
        <w:t>For each route’s selected model, we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14:paraId="75BE8687" w14:textId="77777777" w:rsidR="00D22527" w:rsidRDefault="008054E9">
      <w:pPr>
        <w:pStyle w:val="Heading2"/>
      </w:pPr>
      <w:bookmarkStart w:id="8" w:name="X31dc718cb093ddf8a408c15748922003f5cf579"/>
      <w:r>
        <w:lastRenderedPageBreak/>
        <w:t>Relating change in community structure to decoupling between abundance and size-based dynamics</w:t>
      </w:r>
      <w:bookmarkEnd w:id="8"/>
    </w:p>
    <w:p w14:paraId="293BE0B5" w14:textId="79AE445A" w:rsidR="00D22527" w:rsidRDefault="00E742EC">
      <w:r>
        <w:t>We used</w:t>
      </w:r>
      <w:r w:rsidR="008054E9">
        <w:t xml:space="preserve"> dissimilarity metrics </w:t>
      </w:r>
      <w:r>
        <w:t>to</w:t>
      </w:r>
      <w:r w:rsidR="00D872B2">
        <w:t xml:space="preserve"> explore the extent to which change in community </w:t>
      </w:r>
      <w:r w:rsidR="000027E0">
        <w:t xml:space="preserve">species or size composition </w:t>
      </w:r>
      <w:r w:rsidR="00D872B2">
        <w:t>propagate</w:t>
      </w:r>
      <w:r w:rsidR="000027E0">
        <w:t>d</w:t>
      </w:r>
      <w:r w:rsidR="00D872B2">
        <w:t xml:space="preserve"> to decoupling between long-term trends in individual</w:t>
      </w:r>
      <w:r w:rsidR="000457C3">
        <w:t xml:space="preserve"> abundance and total biomass and energy use</w:t>
      </w:r>
      <w:r>
        <w:t>. These</w:t>
      </w:r>
      <w:r w:rsidR="00773D83">
        <w:t xml:space="preserve"> dissimlilarity</w:t>
      </w:r>
      <w:r>
        <w:t xml:space="preserve"> metrics </w:t>
      </w:r>
      <w:r w:rsidR="008054E9">
        <w:t xml:space="preserve">are most readily interpretable when making pairwise comparisons (as opposed to repeated comparsions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m:oMathPara>
        <m:oMath>
          <m:r>
            <m:rPr>
              <m:nor/>
            </m:rPr>
            <w:rPr>
              <w:rFonts w:ascii="Cambria Math"/>
            </w:rPr>
            <m:t>absolute_log_ratio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r>
        <w:rPr>
          <w:i/>
        </w:rPr>
        <w:t>Selasphorus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 xml:space="preserve">To evaluate turnover in species composition between the five-year time periods, we calculated Bray-Curtis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i.e.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absolute_log_ratio </w:t>
      </w:r>
      <w:r w:rsidRPr="00A56AE5">
        <w:rPr>
          <w:i/>
          <w:iCs/>
        </w:rPr>
        <w:t xml:space="preserve"> ~ </w:t>
      </w:r>
      <w:r w:rsidR="00BF2189">
        <w:rPr>
          <w:i/>
          <w:iCs/>
        </w:rPr>
        <w:t>syndrome.</w:t>
      </w:r>
      <w:r>
        <w:t xml:space="preserve"> We used the absolute log </w:t>
      </w:r>
      <w:r w:rsidR="00CA2122">
        <w:t xml:space="preserve">ratio </w:t>
      </w:r>
      <w:r>
        <w:t xml:space="preserve">so as to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r w:rsidR="00A546E4">
        <w:rPr>
          <w:i/>
          <w:iCs/>
        </w:rPr>
        <w:t>log_ratio</w:t>
      </w:r>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r w:rsidR="00F13A51">
        <w:rPr>
          <w:i/>
          <w:iCs/>
        </w:rPr>
        <w:t>ISD_turnover ~ syndrome</w:t>
      </w:r>
      <w:r>
        <w:t xml:space="preserve"> and </w:t>
      </w:r>
      <w:r w:rsidR="00F13A51">
        <w:rPr>
          <w:i/>
        </w:rPr>
        <w:t>Bray_Curtis_dissimilarity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r w:rsidRPr="0047676A">
        <w:rPr>
          <w:i/>
          <w:iCs/>
        </w:rPr>
        <w:t>emmeans</w:t>
      </w:r>
      <w:r>
        <w:t xml:space="preserve"> (Lenth 2021).</w:t>
      </w:r>
    </w:p>
    <w:p w14:paraId="7D6E7F7E" w14:textId="77777777" w:rsidR="00D22527" w:rsidRDefault="008054E9">
      <w:pPr>
        <w:pStyle w:val="Heading1"/>
      </w:pPr>
      <w:bookmarkStart w:id="9" w:name="results"/>
      <w:r>
        <w:t>Results</w:t>
      </w:r>
      <w:bookmarkEnd w:id="9"/>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w:t>
      </w:r>
      <w:r>
        <w:lastRenderedPageBreak/>
        <w:t>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 xml:space="preserve">decoupled trends over time had a higher absolute log ratio of mean mass (i.e.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10" w:name="discussion"/>
      <w:r>
        <w:lastRenderedPageBreak/>
        <w:t>Discussion</w:t>
      </w:r>
      <w:bookmarkEnd w:id="10"/>
    </w:p>
    <w:p w14:paraId="5EE22359" w14:textId="77777777" w:rsidR="00D22527" w:rsidRPr="008B37C0" w:rsidRDefault="008054E9">
      <w:pPr>
        <w:pStyle w:val="Heading2"/>
        <w:rPr>
          <w:b w:val="0"/>
          <w:bCs/>
          <w:i/>
          <w:iCs/>
        </w:rPr>
      </w:pPr>
      <w:bookmarkStart w:id="11" w:name="X71187e5ad7c35762d36b3535899647f809aae1d"/>
      <w:r w:rsidRPr="008B37C0">
        <w:rPr>
          <w:b w:val="0"/>
          <w:bCs/>
          <w:i/>
          <w:iCs/>
        </w:rPr>
        <w:t>Abundance, biomass, and energy use are nonequivalent currencies</w:t>
      </w:r>
      <w:bookmarkEnd w:id="11"/>
    </w:p>
    <w:p w14:paraId="2472FFE6" w14:textId="77777777" w:rsidR="00D22527" w:rsidRDefault="008054E9">
      <w:r>
        <w:t xml:space="preserve">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(e.g.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Valen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White et al. (2004)). Moreover, extrapolating the </w:t>
      </w:r>
      <w:r>
        <w:lastRenderedPageBreak/>
        <w:t>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2" w:name="Xb56ba5c09e97a1137fd1413dd11e1b4c5360ba1"/>
      <w:r w:rsidRPr="0010562F">
        <w:rPr>
          <w:b w:val="0"/>
          <w:bCs/>
          <w:i/>
          <w:iCs/>
        </w:rPr>
        <w:t>For North American breeding birds, biomass has declined less than abundance or energy use</w:t>
      </w:r>
      <w:bookmarkEnd w:id="12"/>
    </w:p>
    <w:p w14:paraId="2AA98273" w14:textId="6F74E809"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biomass against declines in abundance.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Dirzo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w:t>
      </w:r>
      <w:r w:rsidR="004E0B4F">
        <w:t>associated with</w:t>
      </w:r>
      <w:r w:rsidR="00757A1E">
        <w:t xml:space="preserve"> rising temperatures, with the </w:t>
      </w:r>
      <w:r w:rsidR="00757A1E">
        <w:rPr>
          <w:i/>
          <w:iCs/>
        </w:rPr>
        <w:t xml:space="preserve">interspecific </w:t>
      </w:r>
      <w:r w:rsidR="00757A1E">
        <w:t xml:space="preserve">dynamics documented </w:t>
      </w:r>
      <w:commentRangeStart w:id="13"/>
      <w:r w:rsidR="00757A1E">
        <w:t>here</w:t>
      </w:r>
      <w:commentRangeEnd w:id="13"/>
      <w:r w:rsidR="005F7D54">
        <w:rPr>
          <w:rStyle w:val="CommentReference"/>
        </w:rPr>
        <w:commentReference w:id="13"/>
      </w:r>
      <w:r w:rsidR="005F7D54">
        <w:t xml:space="preserve"> ()</w:t>
      </w:r>
      <w:r w:rsidR="00757A1E">
        <w:t xml:space="preserve">. In </w:t>
      </w:r>
      <w:r w:rsidR="00757A1E">
        <w:lastRenderedPageBreak/>
        <w:t xml:space="preserve">principle, declining body size over time could partially offset the interspecific size shifts observed here. Given that interspecific size shifts occur over a dramatically larger range of body sizes than do intraspecific size shifts, we anticipate that, in most instances, the community-wide dynamics would remain qualitatively similar taking into account 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4" w:name="X759c2eb2ccd01dc997225fd7420b62d149e560c"/>
      <w:r w:rsidRPr="0010562F">
        <w:rPr>
          <w:b w:val="0"/>
          <w:bCs/>
          <w:i/>
          <w:iCs/>
        </w:rPr>
        <w:t>Complex relationships between compositional change and community-level properties</w:t>
      </w:r>
      <w:bookmarkEnd w:id="14"/>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w:t>
      </w:r>
      <w:r>
        <w:lastRenderedPageBreak/>
        <w:t xml:space="preserve">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15" w:name="conclusion"/>
      <w:r w:rsidRPr="00CD2419">
        <w:rPr>
          <w:b w:val="0"/>
          <w:bCs/>
          <w:i/>
          <w:iCs/>
        </w:rPr>
        <w:lastRenderedPageBreak/>
        <w:t>Conclusion</w:t>
      </w:r>
      <w:bookmarkEnd w:id="15"/>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6" w:name="references"/>
      <w:r>
        <w:lastRenderedPageBreak/>
        <w:t>References</w:t>
      </w:r>
      <w:bookmarkEnd w:id="16"/>
    </w:p>
    <w:p w14:paraId="32AA4969" w14:textId="77777777" w:rsidR="00D22527" w:rsidRDefault="008054E9">
      <w:bookmarkStart w:id="17" w:name="ref-chesson2000"/>
      <w:bookmarkStart w:id="18" w:name="refs"/>
      <w:r>
        <w:t>Chesson, P. 2000. Mechanisms of Maintenance of Species Diversity. Annual Review of Ecology and Systematics 31:343–366.</w:t>
      </w:r>
    </w:p>
    <w:p w14:paraId="49CF11B1" w14:textId="77777777" w:rsidR="00D22527" w:rsidRDefault="008054E9">
      <w:bookmarkStart w:id="19" w:name="ref-connolly2005"/>
      <w:bookmarkEnd w:id="17"/>
      <w:r>
        <w:t>Connolly, S. R., T. P. Hughes, D. R. Bellwood, and R. H. Karlson. 2005. Community Structure of Corals and Reef Fishes at Multiple Scales. Science 309:1363–1365.</w:t>
      </w:r>
    </w:p>
    <w:p w14:paraId="27E69742" w14:textId="77777777" w:rsidR="00D22527" w:rsidRDefault="008054E9">
      <w:bookmarkStart w:id="20" w:name="ref-cusser2020"/>
      <w:bookmarkEnd w:id="19"/>
      <w:r>
        <w:t>Cusser, S., C. Bahlai, S. M. Swinton, G. P. Robertson, and N. M. Haddad. 2020. Long-term research avoids spurious and misleading trends in sustainability attributes of no-till. Global Change Biology 26:3715–3725.</w:t>
      </w:r>
    </w:p>
    <w:p w14:paraId="54457E4A" w14:textId="77777777" w:rsidR="00D22527" w:rsidRDefault="008054E9">
      <w:bookmarkStart w:id="21" w:name="ref-dirzo2014"/>
      <w:bookmarkEnd w:id="20"/>
      <w:r>
        <w:t>Dirzo, R., H. S. Young, M. Galetti, G. Ceballos, N. J. B. Isaac, and B. Collen. 2014. Defaunation in the Anthropocene. Science 345:401–406.</w:t>
      </w:r>
    </w:p>
    <w:p w14:paraId="090AC962" w14:textId="77777777" w:rsidR="00D22527" w:rsidRDefault="008054E9">
      <w:bookmarkStart w:id="22" w:name="ref-dornelas2011"/>
      <w:bookmarkEnd w:id="21"/>
      <w:r>
        <w:t>Dornelas, M., D. A. T. Phillip, and A. E. Magurran. 2011. Abundance and dominance become less predictable as species richness decreases. Global Ecology and Biogeography 20:832–841.</w:t>
      </w:r>
    </w:p>
    <w:p w14:paraId="7DDC68AC" w14:textId="77777777" w:rsidR="00D22527" w:rsidRDefault="008054E9">
      <w:bookmarkStart w:id="23" w:name="ref-dunning2008"/>
      <w:bookmarkEnd w:id="22"/>
      <w:r>
        <w:t>Dunning, J. B. 2008. CRC handbook of avian body masses. CRC handbook of avian body masses. 2nd ed. CRC Press, Boca Raton.</w:t>
      </w:r>
    </w:p>
    <w:p w14:paraId="0BA897E8" w14:textId="77777777" w:rsidR="00D22527" w:rsidRDefault="008054E9">
      <w:bookmarkStart w:id="24" w:name="ref-ernest2005"/>
      <w:bookmarkEnd w:id="23"/>
      <w:r>
        <w:t>Ernest, S. K. M. 2005. Body size, energy use, and community structure of small mammals. Ecology 86:1407–1413.</w:t>
      </w:r>
    </w:p>
    <w:p w14:paraId="5DD857DA" w14:textId="77777777" w:rsidR="00D22527" w:rsidRDefault="008054E9">
      <w:bookmarkStart w:id="25" w:name="ref-ernest2008"/>
      <w:bookmarkEnd w:id="24"/>
      <w:r>
        <w:t>Ernest, S. K. M., J. H. Brown, K. M. Thibault, E. P. White, and J. R. Goheen. 2008. Zero Sum, the Niche, and Metacommunities: Long-Term Dynamics of Community Assembly. The American Naturalist 172:E257–E269.</w:t>
      </w:r>
    </w:p>
    <w:p w14:paraId="4FAF255B" w14:textId="77777777" w:rsidR="00D22527" w:rsidRDefault="008054E9">
      <w:bookmarkStart w:id="26" w:name="ref-ernest2009"/>
      <w:bookmarkEnd w:id="25"/>
      <w:r>
        <w:t>Ernest, S. K. M., E. P. White, and J. H. Brown. 2009. Changes in a tropical forest support metabolic zero-sum dynamics. Ecology Letters 12:507–515.</w:t>
      </w:r>
    </w:p>
    <w:p w14:paraId="0D38E1C3" w14:textId="77777777" w:rsidR="00D22527" w:rsidRDefault="008054E9">
      <w:bookmarkStart w:id="27" w:name="ref-fisher2010"/>
      <w:bookmarkEnd w:id="26"/>
      <w:r>
        <w:lastRenderedPageBreak/>
        <w:t>Fisher, J. A. D., K. T. Frank, and W. C. Leggett. 2010. Dynamic macroecology on ecological time-scales. Global Ecology and Biogeography 19:1–15.</w:t>
      </w:r>
    </w:p>
    <w:p w14:paraId="5A39B72D" w14:textId="77777777" w:rsidR="00D22527" w:rsidRDefault="008054E9">
      <w:bookmarkStart w:id="28" w:name="ref-fristoe2015"/>
      <w:bookmarkEnd w:id="27"/>
      <w:r>
        <w:t>Fristoe, T. S. 2015. Energy use by migrants and residents in North American breeding bird communities. Global Ecology and Biogeography 24:406–415.</w:t>
      </w:r>
    </w:p>
    <w:p w14:paraId="7335222B" w14:textId="77777777" w:rsidR="00D22527" w:rsidRDefault="008054E9">
      <w:bookmarkStart w:id="29" w:name="ref-gardner2011"/>
      <w:bookmarkEnd w:id="28"/>
      <w:r>
        <w:t>Gardner, J. L., A. Peters, M. R. Kearney, L. Joseph, and R. Heinsohn. 2011. Declining body size: A third universal response to warming? Trends in Ecology &amp; Evolution 26:285–291.</w:t>
      </w:r>
    </w:p>
    <w:p w14:paraId="586CD03E" w14:textId="77777777" w:rsidR="00D22527" w:rsidRDefault="008054E9">
      <w:bookmarkStart w:id="30" w:name="ref-harris2018"/>
      <w:bookmarkEnd w:id="29"/>
      <w:r>
        <w:t>Harris, D. J., S. D. Taylor, and E. P. White. 2018. Forecasting biodiversity in breeding birds using best practices. PeerJ 6:e4278.</w:t>
      </w:r>
    </w:p>
    <w:p w14:paraId="617DC7D8" w14:textId="77777777" w:rsidR="00D22527" w:rsidRDefault="008054E9">
      <w:bookmarkStart w:id="31" w:name="ref-henderson2010"/>
      <w:bookmarkEnd w:id="30"/>
      <w:r>
        <w:t>Henderson, P. A., and A. E. Magurran.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32" w:name="ref-hernandez2011"/>
      <w:bookmarkEnd w:id="31"/>
      <w:r>
        <w:t>Hernández, L., J. W. Laundré, A. González-Romero, J. López-Portillo, and K. M. Grajales. 2011. Tale of two metrics: Density and biomass in a desert rodent community. Journal of Mammalogy 92:840–851.</w:t>
      </w:r>
    </w:p>
    <w:p w14:paraId="11965E78" w14:textId="77777777" w:rsidR="00D22527" w:rsidRDefault="008054E9">
      <w:bookmarkStart w:id="33" w:name="ref-holling1992"/>
      <w:bookmarkEnd w:id="32"/>
      <w:r>
        <w:t>Holling, C. S. 1992. Cross-Scale Morphology, Geometry, and Dynamics of Ecosystems. Ecological Monographs 62:447–502.</w:t>
      </w:r>
    </w:p>
    <w:p w14:paraId="50B2DE23" w14:textId="77777777" w:rsidR="00D22527" w:rsidRDefault="008054E9">
      <w:bookmarkStart w:id="34" w:name="ref-hubbell2001"/>
      <w:bookmarkEnd w:id="33"/>
      <w:r>
        <w:t>Hubbell, S. P. 2001. The Unified Neutral Theory of Biodiversity and Biogeography (MPB-32). Princeton University Press.</w:t>
      </w:r>
    </w:p>
    <w:p w14:paraId="7900B58F" w14:textId="77777777" w:rsidR="00D22527" w:rsidRDefault="008054E9">
      <w:bookmarkStart w:id="35" w:name="ref-kelt2015"/>
      <w:bookmarkEnd w:id="34"/>
      <w:r>
        <w:t>Kelt, D. A., J. R. Aliperti, P. L. Meserve, W. B. Milstead, M. A. Previtali, and J. R. Gutierrez. 2015. Energetic compensation is historically contingent and not supported for small mammals in South American or Asian deserts. Ecology 96:1702–1712.</w:t>
      </w:r>
    </w:p>
    <w:p w14:paraId="2B422EC7" w14:textId="77777777" w:rsidR="00D22527" w:rsidRDefault="008054E9">
      <w:bookmarkStart w:id="36" w:name="ref-kerr2001"/>
      <w:bookmarkEnd w:id="35"/>
      <w:r>
        <w:lastRenderedPageBreak/>
        <w:t>Kerr, S. R., and L. M. Dickie. 2001. The Biomass Spectrum: A Predator-Prey Theory of Aquatic Production. Page 352 Pages. Columbia University Press.</w:t>
      </w:r>
    </w:p>
    <w:p w14:paraId="25095DA3" w14:textId="77777777" w:rsidR="00D22527" w:rsidRDefault="008054E9">
      <w:bookmarkStart w:id="37" w:name="ref-lenth2021"/>
      <w:bookmarkEnd w:id="36"/>
      <w:r>
        <w:t>Lenth, R. V. 2021. Emmeans: Estimated Marginal Means, aka Least-Squares Means.</w:t>
      </w:r>
    </w:p>
    <w:p w14:paraId="735A0BC8" w14:textId="77777777" w:rsidR="00D22527" w:rsidRDefault="008054E9">
      <w:bookmarkStart w:id="38" w:name="ref-mcgill2015"/>
      <w:bookmarkEnd w:id="37"/>
      <w:r>
        <w:t>McGill, B. J., M. Dornelas, N. J. Gotelli, and A. E. Magurran. 2015. Fifteen forms of biodiversity trend in the Anthropocene. Trends in Ecology &amp; Evolution 30:104–113.</w:t>
      </w:r>
    </w:p>
    <w:p w14:paraId="6082E221" w14:textId="77777777" w:rsidR="00D22527" w:rsidRDefault="008054E9">
      <w:bookmarkStart w:id="39" w:name="ref-mcnab2009"/>
      <w:bookmarkEnd w:id="38"/>
      <w:r>
        <w:t>McNab, B. K. 2009. Ecological factors affect the level and scaling of avian BMR. Comparative Biochemistry and Physiology Part A: Molecular &amp; Integrative Physiology 152:22–45.</w:t>
      </w:r>
    </w:p>
    <w:p w14:paraId="1829EA2D" w14:textId="77777777" w:rsidR="00D22527" w:rsidRDefault="008054E9">
      <w:bookmarkStart w:id="40" w:name="ref-morlon2009"/>
      <w:bookmarkEnd w:id="39"/>
      <w:r>
        <w:t>Morlon, H., E. P. White, R. S. Etienne, J. L. Green, A. Ostling, D. Alonso, B. J. Enquist, F. He, A. Hurlbert, A. E. Magurran, B. A. Maurer, B. J. McGill, H. Olff, D. Storch, and T. Zillio. 2009. Taking species abundance distributions beyond individuals. Ecology Letters 12:488–501.</w:t>
      </w:r>
    </w:p>
    <w:p w14:paraId="1B098030" w14:textId="77777777" w:rsidR="00D22527" w:rsidRDefault="008054E9">
      <w:bookmarkStart w:id="41" w:name="ref-nagy2005"/>
      <w:bookmarkEnd w:id="40"/>
      <w:r>
        <w:t>Nagy, K. A. 2005. Field metabolic rate and body size. Journal of Experimental Biology 208:1621–1625.</w:t>
      </w:r>
    </w:p>
    <w:p w14:paraId="568781FC" w14:textId="77777777" w:rsidR="00D22527" w:rsidRDefault="008054E9">
      <w:bookmarkStart w:id="42" w:name="ref-pardieck2019"/>
      <w:bookmarkEnd w:id="41"/>
      <w:r>
        <w:t>Pardieck, K. L., D. J. Ziolkowski, M. Lutmerding, V. Aponte, and M.-A. Hudson. 2019. North American Breeding Bird Survey Dataset 1966 - 2018, version 2018.0. U.S. Geological Survey.</w:t>
      </w:r>
    </w:p>
    <w:p w14:paraId="27928481" w14:textId="77777777" w:rsidR="00D22527" w:rsidRDefault="008054E9">
      <w:bookmarkStart w:id="43" w:name="ref-petchey2010"/>
      <w:bookmarkEnd w:id="42"/>
      <w:r>
        <w:t>Petchey, O. L., and A. Belgrano. 2010. Body-size distributions and size-spectra: Universal indicators of ecological status? Biology Letters 6:434–437.</w:t>
      </w:r>
    </w:p>
    <w:p w14:paraId="3AF2082E" w14:textId="77777777" w:rsidR="00D22527" w:rsidRDefault="008054E9">
      <w:bookmarkStart w:id="44" w:name="ref-pinheiro2020"/>
      <w:bookmarkEnd w:id="43"/>
      <w:r>
        <w:t>Pinheiro, J., D. Bates, S. DebRoy, D. Sarkar, and R Core Team. 2020. Nlme: Linear and Nonlinear Mixed Effects Models.</w:t>
      </w:r>
    </w:p>
    <w:p w14:paraId="723092D7" w14:textId="77777777" w:rsidR="00D22527" w:rsidRDefault="008054E9">
      <w:bookmarkStart w:id="45" w:name="ref-read2018"/>
      <w:bookmarkEnd w:id="44"/>
      <w:r>
        <w:t>Read, Q. D., J. M. Grady, P. L. Zarnetske, S. Record, B. Baiser, J. Belmaker, M.-N. Tuanmu, A. Strecker, L. Beaudrot, and K. M. Thibault. 2018. Among-species overlap in rodent body size distributions predicts species richness along a temperature gradient. Ecography 41:1718–1727.</w:t>
      </w:r>
    </w:p>
    <w:p w14:paraId="4C7E42E8" w14:textId="77777777" w:rsidR="00D22527" w:rsidRDefault="008054E9">
      <w:bookmarkStart w:id="46" w:name="ref-schipper2016"/>
      <w:bookmarkEnd w:id="45"/>
      <w:r>
        <w:lastRenderedPageBreak/>
        <w:t>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p w14:paraId="22D9A16A" w14:textId="77777777" w:rsidR="00D22527" w:rsidRDefault="008054E9">
      <w:bookmarkStart w:id="47" w:name="ref-schmitz2018"/>
      <w:bookmarkEnd w:id="46"/>
      <w:r>
        <w:t>Schmitz, O. J., C. C. Wilmers, S. J. Leroux, C. E. Doughty, T. B. Atwood, M. Galetti, A. B. Davies, and S. J. Goetz. 2018. Animals and the zoogeochemistry of the carbon cycle. Science.</w:t>
      </w:r>
    </w:p>
    <w:p w14:paraId="12121EE6" w14:textId="77777777" w:rsidR="00D22527" w:rsidRDefault="008054E9">
      <w:bookmarkStart w:id="48" w:name="ref-smith2018"/>
      <w:bookmarkEnd w:id="47"/>
      <w:r>
        <w:t>Smith, F. A., R. E. Elliott Smith, S. K. Lyons, and J. L. Payne. 2018. Body size downgrading of mammals over the late Quaternary. Science 360:310–313.</w:t>
      </w:r>
    </w:p>
    <w:p w14:paraId="5C382AA8" w14:textId="77777777" w:rsidR="00D22527" w:rsidRDefault="008054E9">
      <w:bookmarkStart w:id="49" w:name="ref-supp2014a"/>
      <w:bookmarkEnd w:id="48"/>
      <w:r>
        <w:t>Supp, S. R., and S. K. M. Ernest. 2014. Species-level and community-level responses to disturbance: A cross-community analysis. Ecology 95:1717–1723.</w:t>
      </w:r>
    </w:p>
    <w:p w14:paraId="71C94559" w14:textId="77777777" w:rsidR="00D22527" w:rsidRDefault="008054E9">
      <w:bookmarkStart w:id="50" w:name="ref-terry2015"/>
      <w:bookmarkEnd w:id="49"/>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51" w:name="ref-thibault2011"/>
      <w:bookmarkEnd w:id="50"/>
      <w:r>
        <w:t>Thibault, K. M., E. P. White, A. H. Hurlbert, and S. K. M. Ernest. 2011. Multimodality in the individual size distributions of bird communities. Global Ecology and Biogeography 20:145–153.</w:t>
      </w:r>
    </w:p>
    <w:p w14:paraId="421EF62D" w14:textId="77777777" w:rsidR="00D22527" w:rsidRDefault="008054E9">
      <w:bookmarkStart w:id="52" w:name="ref-vanvalen1973"/>
      <w:bookmarkEnd w:id="51"/>
      <w:r>
        <w:t>Van Valen, L. 1973. A new evolutionary law. Evolutionary Theory 1:1–30.</w:t>
      </w:r>
    </w:p>
    <w:p w14:paraId="38D7064C" w14:textId="77777777" w:rsidR="00D22527" w:rsidRDefault="008054E9">
      <w:bookmarkStart w:id="53" w:name="ref-warwick1994"/>
      <w:bookmarkEnd w:id="52"/>
      <w:r>
        <w:t>Warwick, R. M., and K. R. Clarke. 1994. Relearning the ABC: Taxonomic changes and abundance/biomass relationships in disturbed benthic communities. Marine Biology 118:739–744.</w:t>
      </w:r>
    </w:p>
    <w:p w14:paraId="2C19654E" w14:textId="77777777" w:rsidR="00D22527" w:rsidRDefault="008054E9">
      <w:bookmarkStart w:id="54" w:name="ref-white2004a"/>
      <w:bookmarkEnd w:id="53"/>
      <w:r>
        <w:lastRenderedPageBreak/>
        <w:t>White, E. P. 2004. Two-phase speciesTime relationships in North American land birds. Ecology Letters 7:329–336.</w:t>
      </w:r>
    </w:p>
    <w:p w14:paraId="6550370D" w14:textId="77777777" w:rsidR="00D22527" w:rsidRDefault="008054E9">
      <w:bookmarkStart w:id="55" w:name="ref-white2007"/>
      <w:bookmarkEnd w:id="54"/>
      <w:r>
        <w:t>White, E. P., S. K. M. Ernest, A. J. Kerkhoff, and B. J. Enquist. 2007. Relationships between body size and abundance in ecology. Trends in Ecology &amp; Evolution 22:323–330.</w:t>
      </w:r>
    </w:p>
    <w:p w14:paraId="515CE622" w14:textId="77777777" w:rsidR="00D22527" w:rsidRDefault="008054E9">
      <w:bookmarkStart w:id="56" w:name="ref-white2004"/>
      <w:bookmarkEnd w:id="55"/>
      <w:r>
        <w:t>White, E. P., S. K. M. Ernest, and K. M. Thibault. 2004. Trade-offs in Community Properties through Time in a Desert Rodent Community. The American Naturalist 164:670–676.</w:t>
      </w:r>
    </w:p>
    <w:p w14:paraId="73F57C37" w14:textId="77777777" w:rsidR="00D22527" w:rsidRDefault="008054E9">
      <w:bookmarkStart w:id="57" w:name="ref-ye2020"/>
      <w:bookmarkEnd w:id="56"/>
      <w:r>
        <w:t>Ye, H., E. K. Bledsoe, R. Diaz, S. K. M. Ernest, J. L. Simonis, E. P. White, and G. M. Yenni. 2020, May. Macroecological Analyses of Time Series Structure. Zenodo.</w:t>
      </w:r>
    </w:p>
    <w:p w14:paraId="2BAB5054" w14:textId="77777777" w:rsidR="00D22527" w:rsidRDefault="008054E9">
      <w:bookmarkStart w:id="58" w:name="ref-yen2017"/>
      <w:bookmarkEnd w:id="57"/>
      <w:r>
        <w:t>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1CDB687D" w:rsidR="009D1CF2" w:rsidRDefault="008054E9">
      <w:bookmarkStart w:id="59" w:name="ref-young2016"/>
      <w:bookmarkEnd w:id="58"/>
      <w:r>
        <w:t>Young, H. S., D. J. McCauley, M. Galetti, and R. Dirzo. 2016. Patterns, Causes, and Consequences of Anthropocene Defaunation. Annual Review of Ecology, Evolution, and Systematics 47:333–358.</w:t>
      </w:r>
      <w:bookmarkEnd w:id="18"/>
      <w:bookmarkEnd w:id="59"/>
    </w:p>
    <w:p w14:paraId="28444AE5" w14:textId="77777777" w:rsidR="009D1CF2" w:rsidRDefault="009D1CF2">
      <w:pPr>
        <w:spacing w:before="0" w:after="0" w:line="276" w:lineRule="auto"/>
      </w:pPr>
      <w:r>
        <w:br w:type="page"/>
      </w:r>
    </w:p>
    <w:p w14:paraId="4DA83DBA" w14:textId="77777777" w:rsidR="009D1CF2" w:rsidRDefault="009D1CF2" w:rsidP="009D1CF2">
      <w:r>
        <w:rPr>
          <w:b/>
          <w:bCs/>
        </w:rPr>
        <w:lastRenderedPageBreak/>
        <w:t xml:space="preserve">Data availability: </w:t>
      </w:r>
      <w:r>
        <w:t xml:space="preserve">All data and code supporting this manuscript are available online on GitHub. For the purposes of double-blind review, we have uploaded a copy of these analyses to a burner GitHub repository </w:t>
      </w:r>
      <w:commentRangeStart w:id="60"/>
      <w:r>
        <w:t>at</w:t>
      </w:r>
      <w:commentRangeEnd w:id="60"/>
      <w:r>
        <w:rPr>
          <w:rStyle w:val="CommentReference"/>
        </w:rPr>
        <w:commentReference w:id="60"/>
      </w:r>
      <w:r>
        <w:t xml:space="preserve">: . Upon manuscript acceptance, these will be archived in perpetuity on Zenodo. </w:t>
      </w:r>
    </w:p>
    <w:p w14:paraId="0F71D3EA" w14:textId="7E43D5D1" w:rsidR="0060328A" w:rsidRDefault="0060328A">
      <w:pPr>
        <w:spacing w:before="0" w:after="0" w:line="276" w:lineRule="auto"/>
      </w:pPr>
      <w:r>
        <w:br w:type="page"/>
      </w:r>
    </w:p>
    <w:p w14:paraId="0BEFE69D" w14:textId="77777777" w:rsidR="0060328A" w:rsidRDefault="0060328A" w:rsidP="0060328A">
      <w:pPr>
        <w:pStyle w:val="Heading3"/>
        <w:rPr>
          <w:b/>
          <w:bCs/>
          <w:i w:val="0"/>
          <w:iCs/>
        </w:rPr>
      </w:pPr>
      <w:r>
        <w:rPr>
          <w:b/>
          <w:bCs/>
          <w:i w:val="0"/>
          <w:iCs/>
        </w:rPr>
        <w:lastRenderedPageBreak/>
        <w:t>Tables</w:t>
      </w:r>
    </w:p>
    <w:p w14:paraId="0D6EC6B7" w14:textId="77777777" w:rsidR="0060328A" w:rsidRPr="00C55764" w:rsidRDefault="0060328A" w:rsidP="0060328A">
      <w:pPr>
        <w:pStyle w:val="Heading3"/>
        <w:rPr>
          <w:b/>
          <w:bCs/>
          <w:i w:val="0"/>
          <w:iCs/>
        </w:rPr>
      </w:pPr>
      <w:r w:rsidRPr="00C55764">
        <w:rPr>
          <w:b/>
          <w:bCs/>
          <w:i w:val="0"/>
          <w:iCs/>
        </w:rPr>
        <w:t>Table 1.</w:t>
      </w:r>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60328A" w14:paraId="58E8CE4A" w14:textId="77777777" w:rsidTr="000A5E9F">
        <w:tc>
          <w:tcPr>
            <w:tcW w:w="0" w:type="auto"/>
            <w:vAlign w:val="bottom"/>
          </w:tcPr>
          <w:p w14:paraId="6DCA1E5D" w14:textId="77777777" w:rsidR="0060328A" w:rsidRDefault="0060328A" w:rsidP="000A5E9F">
            <w:r>
              <w:t>Currency</w:t>
            </w:r>
          </w:p>
        </w:tc>
        <w:tc>
          <w:tcPr>
            <w:tcW w:w="0" w:type="auto"/>
            <w:vAlign w:val="bottom"/>
          </w:tcPr>
          <w:p w14:paraId="7DFBC55A" w14:textId="77777777" w:rsidR="0060328A" w:rsidRDefault="0060328A" w:rsidP="000A5E9F">
            <w:r>
              <w:t>Syndrome</w:t>
            </w:r>
          </w:p>
        </w:tc>
        <w:tc>
          <w:tcPr>
            <w:tcW w:w="0" w:type="auto"/>
            <w:vAlign w:val="bottom"/>
          </w:tcPr>
          <w:p w14:paraId="3ECEF95E" w14:textId="77777777" w:rsidR="0060328A" w:rsidRDefault="0060328A" w:rsidP="000A5E9F">
            <w:pPr>
              <w:jc w:val="right"/>
            </w:pPr>
            <w:r>
              <w:t>Number of routes</w:t>
            </w:r>
          </w:p>
        </w:tc>
        <w:tc>
          <w:tcPr>
            <w:tcW w:w="0" w:type="auto"/>
            <w:vAlign w:val="bottom"/>
          </w:tcPr>
          <w:p w14:paraId="254165BD" w14:textId="77777777" w:rsidR="0060328A" w:rsidRDefault="0060328A" w:rsidP="000A5E9F">
            <w:pPr>
              <w:jc w:val="right"/>
            </w:pPr>
            <w:r>
              <w:t>Proportion of routes</w:t>
            </w:r>
          </w:p>
        </w:tc>
      </w:tr>
      <w:tr w:rsidR="0060328A" w14:paraId="3010CA6E" w14:textId="77777777" w:rsidTr="000A5E9F">
        <w:tc>
          <w:tcPr>
            <w:tcW w:w="0" w:type="auto"/>
          </w:tcPr>
          <w:p w14:paraId="763EC36C" w14:textId="77777777" w:rsidR="0060328A" w:rsidRDefault="0060328A" w:rsidP="000A5E9F">
            <w:r>
              <w:t>Total biomass</w:t>
            </w:r>
          </w:p>
        </w:tc>
        <w:tc>
          <w:tcPr>
            <w:tcW w:w="0" w:type="auto"/>
          </w:tcPr>
          <w:p w14:paraId="60DBFE91" w14:textId="77777777" w:rsidR="0060328A" w:rsidRDefault="0060328A" w:rsidP="000A5E9F">
            <w:r>
              <w:t>No directional change</w:t>
            </w:r>
          </w:p>
        </w:tc>
        <w:tc>
          <w:tcPr>
            <w:tcW w:w="0" w:type="auto"/>
          </w:tcPr>
          <w:p w14:paraId="72C1F616" w14:textId="77777777" w:rsidR="0060328A" w:rsidRDefault="0060328A" w:rsidP="000A5E9F">
            <w:pPr>
              <w:jc w:val="right"/>
            </w:pPr>
            <w:r>
              <w:t>239</w:t>
            </w:r>
          </w:p>
        </w:tc>
        <w:tc>
          <w:tcPr>
            <w:tcW w:w="0" w:type="auto"/>
          </w:tcPr>
          <w:p w14:paraId="160A9C09" w14:textId="77777777" w:rsidR="0060328A" w:rsidRDefault="0060328A" w:rsidP="000A5E9F">
            <w:pPr>
              <w:jc w:val="right"/>
            </w:pPr>
            <w:r>
              <w:t>0.32</w:t>
            </w:r>
          </w:p>
        </w:tc>
      </w:tr>
      <w:tr w:rsidR="0060328A" w14:paraId="739AEFBF" w14:textId="77777777" w:rsidTr="000A5E9F">
        <w:tc>
          <w:tcPr>
            <w:tcW w:w="0" w:type="auto"/>
          </w:tcPr>
          <w:p w14:paraId="0F32AA8A" w14:textId="77777777" w:rsidR="0060328A" w:rsidRDefault="0060328A" w:rsidP="000A5E9F">
            <w:r>
              <w:t>Total biomass</w:t>
            </w:r>
          </w:p>
        </w:tc>
        <w:tc>
          <w:tcPr>
            <w:tcW w:w="0" w:type="auto"/>
          </w:tcPr>
          <w:p w14:paraId="25C53C09" w14:textId="77777777" w:rsidR="0060328A" w:rsidRDefault="0060328A" w:rsidP="000A5E9F">
            <w:r>
              <w:t>Coupled trend</w:t>
            </w:r>
          </w:p>
        </w:tc>
        <w:tc>
          <w:tcPr>
            <w:tcW w:w="0" w:type="auto"/>
          </w:tcPr>
          <w:p w14:paraId="1A9CFF30" w14:textId="77777777" w:rsidR="0060328A" w:rsidRDefault="0060328A" w:rsidP="000A5E9F">
            <w:pPr>
              <w:jc w:val="right"/>
            </w:pPr>
            <w:r>
              <w:t>351</w:t>
            </w:r>
          </w:p>
        </w:tc>
        <w:tc>
          <w:tcPr>
            <w:tcW w:w="0" w:type="auto"/>
          </w:tcPr>
          <w:p w14:paraId="13F686B8" w14:textId="77777777" w:rsidR="0060328A" w:rsidRDefault="0060328A" w:rsidP="000A5E9F">
            <w:pPr>
              <w:jc w:val="right"/>
            </w:pPr>
            <w:r>
              <w:t>0.47</w:t>
            </w:r>
          </w:p>
        </w:tc>
      </w:tr>
      <w:tr w:rsidR="0060328A" w14:paraId="53E6BBD4" w14:textId="77777777" w:rsidTr="000A5E9F">
        <w:tc>
          <w:tcPr>
            <w:tcW w:w="0" w:type="auto"/>
          </w:tcPr>
          <w:p w14:paraId="19EC675A" w14:textId="77777777" w:rsidR="0060328A" w:rsidRDefault="0060328A" w:rsidP="000A5E9F">
            <w:r>
              <w:t>Total biomass</w:t>
            </w:r>
          </w:p>
        </w:tc>
        <w:tc>
          <w:tcPr>
            <w:tcW w:w="0" w:type="auto"/>
          </w:tcPr>
          <w:p w14:paraId="1D45B001" w14:textId="77777777" w:rsidR="0060328A" w:rsidRDefault="0060328A" w:rsidP="000A5E9F">
            <w:r>
              <w:t>Decoupled trend</w:t>
            </w:r>
          </w:p>
        </w:tc>
        <w:tc>
          <w:tcPr>
            <w:tcW w:w="0" w:type="auto"/>
          </w:tcPr>
          <w:p w14:paraId="157DD4B5" w14:textId="77777777" w:rsidR="0060328A" w:rsidRDefault="0060328A" w:rsidP="000A5E9F">
            <w:pPr>
              <w:jc w:val="right"/>
            </w:pPr>
            <w:r>
              <w:t>149</w:t>
            </w:r>
          </w:p>
        </w:tc>
        <w:tc>
          <w:tcPr>
            <w:tcW w:w="0" w:type="auto"/>
          </w:tcPr>
          <w:p w14:paraId="1755DC07" w14:textId="77777777" w:rsidR="0060328A" w:rsidRDefault="0060328A" w:rsidP="000A5E9F">
            <w:pPr>
              <w:jc w:val="right"/>
            </w:pPr>
            <w:r>
              <w:t>0.20</w:t>
            </w:r>
          </w:p>
        </w:tc>
      </w:tr>
      <w:tr w:rsidR="0060328A" w14:paraId="4CEC070B" w14:textId="77777777" w:rsidTr="000A5E9F">
        <w:tc>
          <w:tcPr>
            <w:tcW w:w="0" w:type="auto"/>
          </w:tcPr>
          <w:p w14:paraId="55C09233" w14:textId="77777777" w:rsidR="0060328A" w:rsidRDefault="0060328A" w:rsidP="000A5E9F">
            <w:r>
              <w:t>Total energy use</w:t>
            </w:r>
          </w:p>
        </w:tc>
        <w:tc>
          <w:tcPr>
            <w:tcW w:w="0" w:type="auto"/>
          </w:tcPr>
          <w:p w14:paraId="57B594BA" w14:textId="77777777" w:rsidR="0060328A" w:rsidRDefault="0060328A" w:rsidP="000A5E9F">
            <w:r>
              <w:t>No directional change</w:t>
            </w:r>
          </w:p>
        </w:tc>
        <w:tc>
          <w:tcPr>
            <w:tcW w:w="0" w:type="auto"/>
          </w:tcPr>
          <w:p w14:paraId="6C179A7B" w14:textId="77777777" w:rsidR="0060328A" w:rsidRDefault="0060328A" w:rsidP="000A5E9F">
            <w:pPr>
              <w:jc w:val="right"/>
            </w:pPr>
            <w:r>
              <w:t>230</w:t>
            </w:r>
          </w:p>
        </w:tc>
        <w:tc>
          <w:tcPr>
            <w:tcW w:w="0" w:type="auto"/>
          </w:tcPr>
          <w:p w14:paraId="608E44A3" w14:textId="77777777" w:rsidR="0060328A" w:rsidRDefault="0060328A" w:rsidP="000A5E9F">
            <w:pPr>
              <w:jc w:val="right"/>
            </w:pPr>
            <w:r>
              <w:t>0.31</w:t>
            </w:r>
          </w:p>
        </w:tc>
      </w:tr>
      <w:tr w:rsidR="0060328A" w14:paraId="519F79FF" w14:textId="77777777" w:rsidTr="000A5E9F">
        <w:tc>
          <w:tcPr>
            <w:tcW w:w="0" w:type="auto"/>
          </w:tcPr>
          <w:p w14:paraId="15D70512" w14:textId="77777777" w:rsidR="0060328A" w:rsidRDefault="0060328A" w:rsidP="000A5E9F">
            <w:r>
              <w:t>Total energy use</w:t>
            </w:r>
          </w:p>
        </w:tc>
        <w:tc>
          <w:tcPr>
            <w:tcW w:w="0" w:type="auto"/>
          </w:tcPr>
          <w:p w14:paraId="74EA2F5F" w14:textId="77777777" w:rsidR="0060328A" w:rsidRDefault="0060328A" w:rsidP="000A5E9F">
            <w:r>
              <w:t>Coupled trend</w:t>
            </w:r>
          </w:p>
        </w:tc>
        <w:tc>
          <w:tcPr>
            <w:tcW w:w="0" w:type="auto"/>
          </w:tcPr>
          <w:p w14:paraId="57283351" w14:textId="77777777" w:rsidR="0060328A" w:rsidRDefault="0060328A" w:rsidP="000A5E9F">
            <w:pPr>
              <w:jc w:val="right"/>
            </w:pPr>
            <w:r>
              <w:t>456</w:t>
            </w:r>
          </w:p>
        </w:tc>
        <w:tc>
          <w:tcPr>
            <w:tcW w:w="0" w:type="auto"/>
          </w:tcPr>
          <w:p w14:paraId="3C45822B" w14:textId="77777777" w:rsidR="0060328A" w:rsidRDefault="0060328A" w:rsidP="000A5E9F">
            <w:pPr>
              <w:jc w:val="right"/>
            </w:pPr>
            <w:r>
              <w:t>0.62</w:t>
            </w:r>
          </w:p>
        </w:tc>
      </w:tr>
      <w:tr w:rsidR="0060328A" w14:paraId="7B232E8F" w14:textId="77777777" w:rsidTr="000A5E9F">
        <w:tc>
          <w:tcPr>
            <w:tcW w:w="0" w:type="auto"/>
          </w:tcPr>
          <w:p w14:paraId="6E180553" w14:textId="77777777" w:rsidR="0060328A" w:rsidRDefault="0060328A" w:rsidP="000A5E9F">
            <w:r>
              <w:t>Total energy use</w:t>
            </w:r>
          </w:p>
        </w:tc>
        <w:tc>
          <w:tcPr>
            <w:tcW w:w="0" w:type="auto"/>
          </w:tcPr>
          <w:p w14:paraId="2A912B41" w14:textId="77777777" w:rsidR="0060328A" w:rsidRDefault="0060328A" w:rsidP="000A5E9F">
            <w:r>
              <w:t>Decoupled trend</w:t>
            </w:r>
          </w:p>
        </w:tc>
        <w:tc>
          <w:tcPr>
            <w:tcW w:w="0" w:type="auto"/>
          </w:tcPr>
          <w:p w14:paraId="1E3517E2" w14:textId="77777777" w:rsidR="0060328A" w:rsidRDefault="0060328A" w:rsidP="000A5E9F">
            <w:pPr>
              <w:jc w:val="right"/>
            </w:pPr>
            <w:r>
              <w:t>53</w:t>
            </w:r>
          </w:p>
        </w:tc>
        <w:tc>
          <w:tcPr>
            <w:tcW w:w="0" w:type="auto"/>
          </w:tcPr>
          <w:p w14:paraId="75E20693" w14:textId="77777777" w:rsidR="0060328A" w:rsidRDefault="0060328A" w:rsidP="000A5E9F">
            <w:pPr>
              <w:jc w:val="right"/>
            </w:pPr>
            <w:r>
              <w:t>0.07</w:t>
            </w:r>
          </w:p>
        </w:tc>
      </w:tr>
    </w:tbl>
    <w:p w14:paraId="0FBE1937" w14:textId="77777777" w:rsidR="0060328A" w:rsidRDefault="0060328A" w:rsidP="0060328A"/>
    <w:p w14:paraId="0ADA10CD" w14:textId="77777777" w:rsidR="0060328A" w:rsidRDefault="0060328A" w:rsidP="0060328A">
      <w:r>
        <w:rPr>
          <w:b/>
          <w:bCs/>
        </w:rPr>
        <w:t xml:space="preserve">Table 1. </w:t>
      </w:r>
      <w:r>
        <w:t xml:space="preserve">Table of the number and proportion of routes whose dynamics for total biomass and total energy use are best described by the following syndromes: no directional change (intercept-only model, </w:t>
      </w:r>
      <w:r w:rsidRPr="00925659">
        <w:rPr>
          <w:i/>
          <w:iCs/>
        </w:rPr>
        <w:t>biomass ~ 1</w:t>
      </w:r>
      <w:r>
        <w:rPr>
          <w:i/>
          <w:iCs/>
        </w:rPr>
        <w:t xml:space="preserve"> </w:t>
      </w:r>
      <w:r>
        <w:t xml:space="preserve">or </w:t>
      </w:r>
      <w:r>
        <w:rPr>
          <w:i/>
          <w:iCs/>
        </w:rPr>
        <w:t>energy use</w:t>
      </w:r>
      <w:r w:rsidRPr="00925659">
        <w:rPr>
          <w:i/>
          <w:iCs/>
        </w:rPr>
        <w:t xml:space="preserve"> ~ 1</w:t>
      </w:r>
      <w:r>
        <w:t>); a coupled trend (</w:t>
      </w:r>
      <w:r w:rsidRPr="00925659">
        <w:rPr>
          <w:i/>
          <w:iCs/>
        </w:rPr>
        <w:t xml:space="preserve">biomass ~ </w:t>
      </w:r>
      <w:r w:rsidRPr="00397A01">
        <w:rPr>
          <w:i/>
          <w:iCs/>
        </w:rPr>
        <w:t xml:space="preserve"> year</w:t>
      </w:r>
      <w:r>
        <w:rPr>
          <w:i/>
          <w:iCs/>
        </w:rPr>
        <w:t xml:space="preserve"> </w:t>
      </w:r>
      <w:r>
        <w:t xml:space="preserve">or </w:t>
      </w:r>
      <w:r>
        <w:rPr>
          <w:i/>
          <w:iCs/>
        </w:rPr>
        <w:t>energy use ~ year</w:t>
      </w:r>
      <w:r>
        <w:t>); or a model with decoupled temporal trends for observed and abundance-driven dynamics (</w:t>
      </w:r>
      <w:r>
        <w:rPr>
          <w:i/>
          <w:iCs/>
        </w:rPr>
        <w:t xml:space="preserve">biomass ~ year *  dynamics </w:t>
      </w:r>
      <w:r>
        <w:t xml:space="preserve">or </w:t>
      </w:r>
      <w:r>
        <w:rPr>
          <w:i/>
          <w:iCs/>
        </w:rPr>
        <w:t>energy use ~ year * dynamics</w:t>
      </w:r>
      <w:r>
        <w:t xml:space="preserve">, where </w:t>
      </w:r>
      <w:r w:rsidRPr="006044DF">
        <w:rPr>
          <w:i/>
          <w:iCs/>
        </w:rPr>
        <w:t>dynamics</w:t>
      </w:r>
      <w:r>
        <w:t xml:space="preserve"> refers to observed or null model, abundance-driven dynamics).</w:t>
      </w:r>
    </w:p>
    <w:p w14:paraId="6AC33654" w14:textId="77777777" w:rsidR="0060328A" w:rsidRDefault="0060328A" w:rsidP="0060328A">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5E0814A6" w14:textId="77777777" w:rsidR="0060328A" w:rsidRPr="005249CC" w:rsidRDefault="0060328A" w:rsidP="0060328A">
      <w:pPr>
        <w:spacing w:before="0" w:after="0" w:line="276" w:lineRule="auto"/>
      </w:pPr>
    </w:p>
    <w:p w14:paraId="770CFFDD" w14:textId="77777777" w:rsidR="0060328A" w:rsidRDefault="0060328A" w:rsidP="0060328A">
      <w:pPr>
        <w:spacing w:before="0" w:after="0" w:line="276" w:lineRule="auto"/>
      </w:pPr>
      <w:r>
        <w:br w:type="page"/>
      </w:r>
    </w:p>
    <w:p w14:paraId="48C0C023" w14:textId="77777777" w:rsidR="0060328A" w:rsidRPr="00AD212F" w:rsidRDefault="0060328A" w:rsidP="0060328A">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60328A" w14:paraId="754D04C7" w14:textId="77777777" w:rsidTr="000A5E9F">
        <w:tc>
          <w:tcPr>
            <w:tcW w:w="0" w:type="auto"/>
            <w:vAlign w:val="bottom"/>
          </w:tcPr>
          <w:p w14:paraId="2597EC7D" w14:textId="77777777" w:rsidR="0060328A" w:rsidRDefault="0060328A" w:rsidP="000A5E9F">
            <w:r>
              <w:t>Currency</w:t>
            </w:r>
          </w:p>
        </w:tc>
        <w:tc>
          <w:tcPr>
            <w:tcW w:w="0" w:type="auto"/>
            <w:vAlign w:val="bottom"/>
          </w:tcPr>
          <w:p w14:paraId="50582EDB" w14:textId="77777777" w:rsidR="0060328A" w:rsidRDefault="0060328A" w:rsidP="000A5E9F">
            <w:pPr>
              <w:jc w:val="right"/>
            </w:pPr>
            <w:r>
              <w:t>Proportion of increasing abundance-driven trends</w:t>
            </w:r>
          </w:p>
        </w:tc>
        <w:tc>
          <w:tcPr>
            <w:tcW w:w="0" w:type="auto"/>
            <w:vAlign w:val="bottom"/>
          </w:tcPr>
          <w:p w14:paraId="620A7148" w14:textId="77777777" w:rsidR="0060328A" w:rsidRDefault="0060328A" w:rsidP="000A5E9F">
            <w:pPr>
              <w:jc w:val="right"/>
            </w:pPr>
            <w:r>
              <w:t>Proportion of increasing observed trends</w:t>
            </w:r>
          </w:p>
        </w:tc>
        <w:tc>
          <w:tcPr>
            <w:tcW w:w="0" w:type="auto"/>
            <w:vAlign w:val="bottom"/>
          </w:tcPr>
          <w:p w14:paraId="45A8BC4F" w14:textId="77777777" w:rsidR="0060328A" w:rsidRDefault="0060328A" w:rsidP="000A5E9F">
            <w:pPr>
              <w:jc w:val="right"/>
            </w:pPr>
            <w:r>
              <w:t>Number of routes with temporal trends</w:t>
            </w:r>
          </w:p>
        </w:tc>
      </w:tr>
      <w:tr w:rsidR="0060328A" w14:paraId="4AD3D878" w14:textId="77777777" w:rsidTr="000A5E9F">
        <w:tc>
          <w:tcPr>
            <w:tcW w:w="0" w:type="auto"/>
          </w:tcPr>
          <w:p w14:paraId="26BD3D95" w14:textId="77777777" w:rsidR="0060328A" w:rsidRDefault="0060328A" w:rsidP="000A5E9F">
            <w:r>
              <w:t>Total biomass</w:t>
            </w:r>
          </w:p>
        </w:tc>
        <w:tc>
          <w:tcPr>
            <w:tcW w:w="0" w:type="auto"/>
          </w:tcPr>
          <w:p w14:paraId="44F03733" w14:textId="77777777" w:rsidR="0060328A" w:rsidRDefault="0060328A" w:rsidP="000A5E9F">
            <w:pPr>
              <w:jc w:val="right"/>
            </w:pPr>
            <w:r>
              <w:t>0.33</w:t>
            </w:r>
          </w:p>
        </w:tc>
        <w:tc>
          <w:tcPr>
            <w:tcW w:w="0" w:type="auto"/>
          </w:tcPr>
          <w:p w14:paraId="4E827099" w14:textId="77777777" w:rsidR="0060328A" w:rsidRDefault="0060328A" w:rsidP="000A5E9F">
            <w:pPr>
              <w:jc w:val="right"/>
            </w:pPr>
            <w:r>
              <w:t>0.49</w:t>
            </w:r>
          </w:p>
        </w:tc>
        <w:tc>
          <w:tcPr>
            <w:tcW w:w="0" w:type="auto"/>
          </w:tcPr>
          <w:p w14:paraId="7D268BF3" w14:textId="77777777" w:rsidR="0060328A" w:rsidRDefault="0060328A" w:rsidP="000A5E9F">
            <w:pPr>
              <w:jc w:val="right"/>
            </w:pPr>
            <w:r>
              <w:t>500</w:t>
            </w:r>
          </w:p>
        </w:tc>
      </w:tr>
      <w:tr w:rsidR="0060328A" w14:paraId="7CEE1C1C" w14:textId="77777777" w:rsidTr="000A5E9F">
        <w:tc>
          <w:tcPr>
            <w:tcW w:w="0" w:type="auto"/>
          </w:tcPr>
          <w:p w14:paraId="3C2462B7" w14:textId="77777777" w:rsidR="0060328A" w:rsidRDefault="0060328A" w:rsidP="000A5E9F">
            <w:r>
              <w:t>Total energy use</w:t>
            </w:r>
          </w:p>
        </w:tc>
        <w:tc>
          <w:tcPr>
            <w:tcW w:w="0" w:type="auto"/>
          </w:tcPr>
          <w:p w14:paraId="5AEBC844" w14:textId="77777777" w:rsidR="0060328A" w:rsidRDefault="0060328A" w:rsidP="000A5E9F">
            <w:pPr>
              <w:jc w:val="right"/>
            </w:pPr>
            <w:r>
              <w:t>0.30</w:t>
            </w:r>
          </w:p>
        </w:tc>
        <w:tc>
          <w:tcPr>
            <w:tcW w:w="0" w:type="auto"/>
          </w:tcPr>
          <w:p w14:paraId="226EC4FA" w14:textId="77777777" w:rsidR="0060328A" w:rsidRDefault="0060328A" w:rsidP="000A5E9F">
            <w:pPr>
              <w:jc w:val="right"/>
            </w:pPr>
            <w:r>
              <w:t>0.35</w:t>
            </w:r>
          </w:p>
        </w:tc>
        <w:tc>
          <w:tcPr>
            <w:tcW w:w="0" w:type="auto"/>
          </w:tcPr>
          <w:p w14:paraId="0E87705B" w14:textId="77777777" w:rsidR="0060328A" w:rsidRDefault="0060328A" w:rsidP="000A5E9F">
            <w:pPr>
              <w:jc w:val="right"/>
            </w:pPr>
            <w:r>
              <w:t>509</w:t>
            </w:r>
          </w:p>
        </w:tc>
      </w:tr>
    </w:tbl>
    <w:p w14:paraId="55B96232" w14:textId="77777777" w:rsidR="0060328A" w:rsidRPr="00EF1E28" w:rsidRDefault="0060328A" w:rsidP="0060328A">
      <w:pPr>
        <w:rPr>
          <w:b/>
          <w:bCs/>
        </w:rPr>
      </w:pPr>
      <w:bookmarkStart w:id="61" w:name="X7cf9e2c66cae91482f0f316d0c0dac24358c362"/>
      <w:r w:rsidRPr="00EF1E28">
        <w:rPr>
          <w:b/>
          <w:bCs/>
        </w:rPr>
        <w:t xml:space="preserve">Table 2. </w:t>
      </w:r>
      <w:bookmarkEnd w:id="61"/>
    </w:p>
    <w:p w14:paraId="43F8F41A" w14:textId="77777777" w:rsidR="0060328A" w:rsidRDefault="0060328A" w:rsidP="0060328A">
      <w:r>
        <w:t xml:space="preserve">The proportion of trends that are increasing (specifically, for which the ratio of the last fitted value to the first fitted value &gt; 1) for abundance-driven and observed dynamics, for routes exhibiting temporal trends (“coupled trends” or “decoupled trends”) in total biomass and total energy use (for biomass, </w:t>
      </w:r>
      <w:r>
        <w:rPr>
          <w:i/>
          <w:iCs/>
        </w:rPr>
        <w:t xml:space="preserve">n </w:t>
      </w:r>
      <w:r>
        <w:t xml:space="preserve">= 500; for energy use, </w:t>
      </w:r>
      <w:r>
        <w:rPr>
          <w:i/>
          <w:iCs/>
        </w:rPr>
        <w:t xml:space="preserve">n = </w:t>
      </w:r>
      <w:r w:rsidRPr="005B4850">
        <w:t>509</w:t>
      </w:r>
      <w:r>
        <w:t>). Trends that are not increasing are decreasing.</w:t>
      </w:r>
    </w:p>
    <w:p w14:paraId="40B95E6A" w14:textId="77777777" w:rsidR="0060328A" w:rsidRDefault="0060328A" w:rsidP="0060328A">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0B6EB3A8" w14:textId="77777777" w:rsidR="00F769F7" w:rsidRDefault="00F769F7"/>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62" w:name="figure-1."/>
      <w:r w:rsidRPr="00DF4FB8">
        <w:rPr>
          <w:b/>
          <w:bCs/>
        </w:rPr>
        <w:t>Figure 1.</w:t>
      </w:r>
      <w:bookmarkEnd w:id="62"/>
      <w:r w:rsidR="00DF4FB8">
        <w:rPr>
          <w:b/>
          <w:bCs/>
        </w:rPr>
        <w:t xml:space="preserve"> </w:t>
      </w:r>
      <w:r>
        <w:t xml:space="preserve">Illustration of abundance-driven (null model) dynamics as compared to observed dynamics (A), and the underlying dynamics of the ISD (B) for a sample route (Lindbrook,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r w:rsidRPr="00C925F6">
        <w:rPr>
          <w:i/>
          <w:iCs/>
        </w:rPr>
        <w:t>total_biomass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body sizes results in an overall increase in body size community wide, which partially offsets declines in total biomass from those expected given change in abundance alone.</w:t>
      </w:r>
    </w:p>
    <w:p w14:paraId="29C99A64" w14:textId="77777777" w:rsidR="00A32721" w:rsidRDefault="00A32721">
      <w:pPr>
        <w:spacing w:before="0" w:after="0" w:line="276" w:lineRule="auto"/>
        <w:rPr>
          <w:color w:val="666666"/>
        </w:rPr>
      </w:pPr>
      <w:bookmarkStart w:id="63"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63"/>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64"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64"/>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5" w:name="X7f8135000bc5a650b0df27bc14c80f03923ddde"/>
      <w:r w:rsidRPr="00F60001">
        <w:rPr>
          <w:b/>
          <w:bCs/>
        </w:rPr>
        <w:lastRenderedPageBreak/>
        <w:t xml:space="preserve">Figure 4. </w:t>
      </w:r>
      <w:bookmarkEnd w:id="65"/>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Bray-Curtis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2 </w:t>
      </w:r>
      <w:r w:rsidR="00D93A56">
        <w:t xml:space="preserve"> Tables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00179AA" w14:textId="7CCA185D" w:rsidR="00AD212F" w:rsidRPr="0060328A" w:rsidRDefault="00AD212F" w:rsidP="003C7803">
      <w:pPr>
        <w:spacing w:before="0" w:after="0" w:line="276" w:lineRule="auto"/>
        <w:rPr>
          <w:i/>
        </w:rPr>
      </w:pPr>
    </w:p>
    <w:sectPr w:rsidR="00AD212F" w:rsidRPr="0060328A" w:rsidSect="008F15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Renata M" w:date="2022-10-26T15:06:00Z" w:initials="DM">
    <w:p w14:paraId="5D40CBBB" w14:textId="53D29118" w:rsidR="000552BC" w:rsidRDefault="000552BC" w:rsidP="00CF3EB4">
      <w:r>
        <w:rPr>
          <w:rStyle w:val="CommentReference"/>
        </w:rPr>
        <w:annotationRef/>
      </w:r>
      <w:r>
        <w:rPr>
          <w:sz w:val="20"/>
          <w:szCs w:val="20"/>
        </w:rPr>
        <w:t>Main text word count: 4666</w:t>
      </w:r>
    </w:p>
  </w:comment>
  <w:comment w:id="3" w:author="Diaz,Renata M" w:date="2022-10-26T15:15:00Z" w:initials="DM">
    <w:p w14:paraId="38A036E9" w14:textId="77777777" w:rsidR="00621261" w:rsidRDefault="00621261" w:rsidP="008D002C">
      <w:r>
        <w:rPr>
          <w:rStyle w:val="CommentReference"/>
        </w:rPr>
        <w:annotationRef/>
      </w:r>
      <w:r>
        <w:rPr>
          <w:sz w:val="20"/>
          <w:szCs w:val="20"/>
        </w:rPr>
        <w:t>Burner repo</w:t>
      </w:r>
    </w:p>
  </w:comment>
  <w:comment w:id="13" w:author="Diaz,Renata M" w:date="2022-10-26T15:34:00Z" w:initials="DM">
    <w:p w14:paraId="2050A69E" w14:textId="77777777" w:rsidR="005F7D54" w:rsidRDefault="005F7D54" w:rsidP="00040B16">
      <w:r>
        <w:rPr>
          <w:rStyle w:val="CommentReference"/>
        </w:rPr>
        <w:annotationRef/>
      </w:r>
      <w:r>
        <w:rPr>
          <w:sz w:val="20"/>
          <w:szCs w:val="20"/>
        </w:rPr>
        <w:t>Body size ref</w:t>
      </w:r>
    </w:p>
  </w:comment>
  <w:comment w:id="60" w:author="Diaz,Renata M" w:date="2022-10-26T15:08:00Z" w:initials="DM">
    <w:p w14:paraId="4A54F55E" w14:textId="77777777" w:rsidR="009D1CF2" w:rsidRDefault="009D1CF2" w:rsidP="009D1CF2">
      <w:r>
        <w:rPr>
          <w:rStyle w:val="CommentReference"/>
        </w:rPr>
        <w:annotationRef/>
      </w:r>
      <w:r>
        <w:rPr>
          <w:sz w:val="20"/>
          <w:szCs w:val="20"/>
        </w:rPr>
        <w:t>Burner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0CBBB" w15:done="0"/>
  <w15:commentEx w15:paraId="38A036E9" w15:done="0"/>
  <w15:commentEx w15:paraId="2050A69E" w15:done="0"/>
  <w15:commentEx w15:paraId="4A54F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B6E" w16cex:dateUtc="2022-10-26T19:06:00Z"/>
  <w16cex:commentExtensible w16cex:durableId="2703CD7F" w16cex:dateUtc="2022-10-26T19:15:00Z"/>
  <w16cex:commentExtensible w16cex:durableId="2703D21C" w16cex:dateUtc="2022-10-26T19:34:00Z"/>
  <w16cex:commentExtensible w16cex:durableId="2703CC0B" w16cex:dateUtc="2022-10-26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0CBBB" w16cid:durableId="2703CB6E"/>
  <w16cid:commentId w16cid:paraId="38A036E9" w16cid:durableId="2703CD7F"/>
  <w16cid:commentId w16cid:paraId="2050A69E" w16cid:durableId="2703D21C"/>
  <w16cid:commentId w16cid:paraId="4A54F55E" w16cid:durableId="2703C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32798" w14:textId="77777777" w:rsidR="0096154C" w:rsidRDefault="0096154C">
      <w:pPr>
        <w:spacing w:before="0" w:after="0" w:line="240" w:lineRule="auto"/>
      </w:pPr>
      <w:r>
        <w:separator/>
      </w:r>
    </w:p>
  </w:endnote>
  <w:endnote w:type="continuationSeparator" w:id="0">
    <w:p w14:paraId="53B66623" w14:textId="77777777" w:rsidR="0096154C" w:rsidRDefault="009615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053B" w14:textId="77777777" w:rsidR="0096154C" w:rsidRDefault="0096154C">
      <w:r>
        <w:separator/>
      </w:r>
    </w:p>
  </w:footnote>
  <w:footnote w:type="continuationSeparator" w:id="0">
    <w:p w14:paraId="2E8F3E80" w14:textId="77777777" w:rsidR="0096154C" w:rsidRDefault="0096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8566F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048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D3493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4438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E4B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46D6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2A64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E1809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EAD7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B280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4614744">
    <w:abstractNumId w:val="1"/>
  </w:num>
  <w:num w:numId="4" w16cid:durableId="312761409">
    <w:abstractNumId w:val="2"/>
  </w:num>
  <w:num w:numId="5" w16cid:durableId="1690372644">
    <w:abstractNumId w:val="3"/>
  </w:num>
  <w:num w:numId="6" w16cid:durableId="202255486">
    <w:abstractNumId w:val="4"/>
  </w:num>
  <w:num w:numId="7" w16cid:durableId="6712202">
    <w:abstractNumId w:val="9"/>
  </w:num>
  <w:num w:numId="8" w16cid:durableId="1533959777">
    <w:abstractNumId w:val="5"/>
  </w:num>
  <w:num w:numId="9" w16cid:durableId="1079213220">
    <w:abstractNumId w:val="6"/>
  </w:num>
  <w:num w:numId="10" w16cid:durableId="1257518704">
    <w:abstractNumId w:val="7"/>
  </w:num>
  <w:num w:numId="11" w16cid:durableId="216479049">
    <w:abstractNumId w:val="8"/>
  </w:num>
  <w:num w:numId="12" w16cid:durableId="10170790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7E0"/>
    <w:rsid w:val="00011C8B"/>
    <w:rsid w:val="0001343E"/>
    <w:rsid w:val="00015D64"/>
    <w:rsid w:val="00025336"/>
    <w:rsid w:val="0003057A"/>
    <w:rsid w:val="000457C3"/>
    <w:rsid w:val="0005170F"/>
    <w:rsid w:val="000552BC"/>
    <w:rsid w:val="00082D42"/>
    <w:rsid w:val="00097D4F"/>
    <w:rsid w:val="000A012D"/>
    <w:rsid w:val="000A447D"/>
    <w:rsid w:val="000A66BB"/>
    <w:rsid w:val="000B3B8E"/>
    <w:rsid w:val="000B6CE3"/>
    <w:rsid w:val="000D564B"/>
    <w:rsid w:val="00100956"/>
    <w:rsid w:val="0010562F"/>
    <w:rsid w:val="00112E3E"/>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2508"/>
    <w:rsid w:val="00236B4A"/>
    <w:rsid w:val="002372D7"/>
    <w:rsid w:val="00237A48"/>
    <w:rsid w:val="00273F00"/>
    <w:rsid w:val="00280635"/>
    <w:rsid w:val="00287818"/>
    <w:rsid w:val="00292506"/>
    <w:rsid w:val="002A25C2"/>
    <w:rsid w:val="002C5982"/>
    <w:rsid w:val="002D3EB0"/>
    <w:rsid w:val="002E4EFB"/>
    <w:rsid w:val="002F5A59"/>
    <w:rsid w:val="00322DD9"/>
    <w:rsid w:val="00322E88"/>
    <w:rsid w:val="0034547A"/>
    <w:rsid w:val="003907A5"/>
    <w:rsid w:val="003A3EDF"/>
    <w:rsid w:val="003C44D3"/>
    <w:rsid w:val="003C643E"/>
    <w:rsid w:val="003C7803"/>
    <w:rsid w:val="003D1A25"/>
    <w:rsid w:val="003D7B60"/>
    <w:rsid w:val="003E39A2"/>
    <w:rsid w:val="003F1C3D"/>
    <w:rsid w:val="003F1DBB"/>
    <w:rsid w:val="003F6C35"/>
    <w:rsid w:val="00405D39"/>
    <w:rsid w:val="004121F1"/>
    <w:rsid w:val="00420AF8"/>
    <w:rsid w:val="0044445D"/>
    <w:rsid w:val="0047676A"/>
    <w:rsid w:val="00480C20"/>
    <w:rsid w:val="00482A4F"/>
    <w:rsid w:val="00495002"/>
    <w:rsid w:val="004C1216"/>
    <w:rsid w:val="004C5114"/>
    <w:rsid w:val="004C62D6"/>
    <w:rsid w:val="004E0B4F"/>
    <w:rsid w:val="004E29B3"/>
    <w:rsid w:val="004F6D55"/>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4850"/>
    <w:rsid w:val="005B6C27"/>
    <w:rsid w:val="005C3594"/>
    <w:rsid w:val="005D0906"/>
    <w:rsid w:val="005D459B"/>
    <w:rsid w:val="005D7E98"/>
    <w:rsid w:val="005E588B"/>
    <w:rsid w:val="005F2DA8"/>
    <w:rsid w:val="005F41CF"/>
    <w:rsid w:val="005F7D54"/>
    <w:rsid w:val="0060328A"/>
    <w:rsid w:val="00604935"/>
    <w:rsid w:val="00615D30"/>
    <w:rsid w:val="00621261"/>
    <w:rsid w:val="00631136"/>
    <w:rsid w:val="006354A3"/>
    <w:rsid w:val="00641C58"/>
    <w:rsid w:val="00643A87"/>
    <w:rsid w:val="00650DC2"/>
    <w:rsid w:val="00665680"/>
    <w:rsid w:val="00677C2B"/>
    <w:rsid w:val="006A3B1B"/>
    <w:rsid w:val="006D517B"/>
    <w:rsid w:val="006D7AF8"/>
    <w:rsid w:val="006E03DA"/>
    <w:rsid w:val="006E1610"/>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6154C"/>
    <w:rsid w:val="009A1801"/>
    <w:rsid w:val="009B5547"/>
    <w:rsid w:val="009D1CF2"/>
    <w:rsid w:val="009D4247"/>
    <w:rsid w:val="009E234D"/>
    <w:rsid w:val="009F393B"/>
    <w:rsid w:val="00A0169A"/>
    <w:rsid w:val="00A0696C"/>
    <w:rsid w:val="00A12D5F"/>
    <w:rsid w:val="00A14BE6"/>
    <w:rsid w:val="00A24971"/>
    <w:rsid w:val="00A26421"/>
    <w:rsid w:val="00A2684A"/>
    <w:rsid w:val="00A32721"/>
    <w:rsid w:val="00A546E4"/>
    <w:rsid w:val="00A5515B"/>
    <w:rsid w:val="00A56AE5"/>
    <w:rsid w:val="00A642E9"/>
    <w:rsid w:val="00A751DB"/>
    <w:rsid w:val="00A75EF0"/>
    <w:rsid w:val="00AB3693"/>
    <w:rsid w:val="00AC2E90"/>
    <w:rsid w:val="00AC6F69"/>
    <w:rsid w:val="00AD1CD8"/>
    <w:rsid w:val="00AD212F"/>
    <w:rsid w:val="00AD6285"/>
    <w:rsid w:val="00AD673D"/>
    <w:rsid w:val="00AF4A68"/>
    <w:rsid w:val="00B020AA"/>
    <w:rsid w:val="00B07687"/>
    <w:rsid w:val="00B15E64"/>
    <w:rsid w:val="00B209BE"/>
    <w:rsid w:val="00B2276E"/>
    <w:rsid w:val="00B22CF3"/>
    <w:rsid w:val="00B279C4"/>
    <w:rsid w:val="00B3118B"/>
    <w:rsid w:val="00B42886"/>
    <w:rsid w:val="00B4600F"/>
    <w:rsid w:val="00B6501F"/>
    <w:rsid w:val="00B86B75"/>
    <w:rsid w:val="00BA1EE2"/>
    <w:rsid w:val="00BA513D"/>
    <w:rsid w:val="00BB664B"/>
    <w:rsid w:val="00BC48D5"/>
    <w:rsid w:val="00BE14BB"/>
    <w:rsid w:val="00BE192D"/>
    <w:rsid w:val="00BF0389"/>
    <w:rsid w:val="00BF2189"/>
    <w:rsid w:val="00C005EC"/>
    <w:rsid w:val="00C07212"/>
    <w:rsid w:val="00C1182A"/>
    <w:rsid w:val="00C162F8"/>
    <w:rsid w:val="00C22ED9"/>
    <w:rsid w:val="00C3460F"/>
    <w:rsid w:val="00C36279"/>
    <w:rsid w:val="00C55764"/>
    <w:rsid w:val="00C5742A"/>
    <w:rsid w:val="00C66C91"/>
    <w:rsid w:val="00C73496"/>
    <w:rsid w:val="00C73855"/>
    <w:rsid w:val="00C80FEC"/>
    <w:rsid w:val="00C814E5"/>
    <w:rsid w:val="00CA2122"/>
    <w:rsid w:val="00CA3B60"/>
    <w:rsid w:val="00CC175E"/>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C3696"/>
    <w:rsid w:val="00DD78DF"/>
    <w:rsid w:val="00DF4FB8"/>
    <w:rsid w:val="00DF5B16"/>
    <w:rsid w:val="00E01A9C"/>
    <w:rsid w:val="00E02730"/>
    <w:rsid w:val="00E204BB"/>
    <w:rsid w:val="00E315A3"/>
    <w:rsid w:val="00E468AE"/>
    <w:rsid w:val="00E742EC"/>
    <w:rsid w:val="00E94A81"/>
    <w:rsid w:val="00E96978"/>
    <w:rsid w:val="00EA1974"/>
    <w:rsid w:val="00EB2C50"/>
    <w:rsid w:val="00EC5BD8"/>
    <w:rsid w:val="00EC5E20"/>
    <w:rsid w:val="00ED0831"/>
    <w:rsid w:val="00ED4302"/>
    <w:rsid w:val="00EE37B4"/>
    <w:rsid w:val="00EE4BDF"/>
    <w:rsid w:val="00EF1E28"/>
    <w:rsid w:val="00EF4D40"/>
    <w:rsid w:val="00F10956"/>
    <w:rsid w:val="00F13A51"/>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semiHidden/>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semiHidden/>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37</Pages>
  <Words>7530</Words>
  <Characters>42926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50</cp:revision>
  <cp:lastPrinted>2022-10-26T19:13:00Z</cp:lastPrinted>
  <dcterms:created xsi:type="dcterms:W3CDTF">2022-03-07T20:11:00Z</dcterms:created>
  <dcterms:modified xsi:type="dcterms:W3CDTF">2022-10-26T19:50:00Z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