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4CED2" w14:textId="77777777" w:rsidR="009D47B4" w:rsidRPr="00712DB2" w:rsidRDefault="009D47B4" w:rsidP="00712DB2">
      <w:pPr>
        <w:tabs>
          <w:tab w:val="left" w:pos="1980"/>
        </w:tabs>
        <w:spacing w:line="480" w:lineRule="auto"/>
      </w:pPr>
      <w:r w:rsidRPr="00712DB2">
        <w:rPr>
          <w:b/>
        </w:rPr>
        <w:t>Title:</w:t>
      </w:r>
      <w:r w:rsidR="00F06394">
        <w:t xml:space="preserve"> Metabolic Partitioning A</w:t>
      </w:r>
      <w:r w:rsidRPr="00712DB2">
        <w:t>cross Individuals in Ecological Communities</w:t>
      </w:r>
    </w:p>
    <w:p w14:paraId="439F46A0" w14:textId="77777777" w:rsidR="009D47B4" w:rsidRPr="00712DB2" w:rsidRDefault="009D47B4" w:rsidP="00712DB2">
      <w:pPr>
        <w:spacing w:line="480" w:lineRule="auto"/>
      </w:pPr>
    </w:p>
    <w:p w14:paraId="5065372C" w14:textId="77777777" w:rsidR="009D47B4" w:rsidRPr="001430FD" w:rsidRDefault="009D47B4" w:rsidP="00712DB2">
      <w:pPr>
        <w:spacing w:line="480" w:lineRule="auto"/>
        <w:rPr>
          <w:vertAlign w:val="superscript"/>
        </w:rPr>
      </w:pPr>
      <w:r w:rsidRPr="00712DB2">
        <w:rPr>
          <w:b/>
        </w:rPr>
        <w:t>Authors:</w:t>
      </w:r>
      <w:r w:rsidRPr="00712DB2">
        <w:t xml:space="preserve"> John Harte</w:t>
      </w:r>
      <w:r w:rsidRPr="00712DB2">
        <w:rPr>
          <w:vertAlign w:val="superscript"/>
        </w:rPr>
        <w:t xml:space="preserve"> </w:t>
      </w:r>
      <w:r w:rsidRPr="00712DB2">
        <w:rPr>
          <w:rFonts w:eastAsia="ＭＳ 明朝" w:cs="Times New Roman"/>
          <w:vertAlign w:val="superscript"/>
        </w:rPr>
        <w:t>1,2</w:t>
      </w:r>
      <w:r w:rsidRPr="00712DB2">
        <w:rPr>
          <w:rFonts w:eastAsia="ＭＳ 明朝" w:cs="Times New Roman"/>
        </w:rPr>
        <w:t>*</w:t>
      </w:r>
      <w:r w:rsidRPr="00712DB2">
        <w:t>, Erica A. Newman</w:t>
      </w:r>
      <w:r w:rsidRPr="00712DB2">
        <w:rPr>
          <w:vertAlign w:val="superscript"/>
        </w:rPr>
        <w:t xml:space="preserve"> </w:t>
      </w:r>
      <w:r w:rsidRPr="00712DB2">
        <w:rPr>
          <w:rFonts w:eastAsia="ＭＳ 明朝" w:cs="Times New Roman"/>
          <w:vertAlign w:val="superscript"/>
        </w:rPr>
        <w:t>3</w:t>
      </w:r>
      <w:r w:rsidR="00CE4BB7">
        <w:rPr>
          <w:rFonts w:eastAsia="ＭＳ 明朝" w:cs="Times New Roman"/>
          <w:vertAlign w:val="superscript"/>
        </w:rPr>
        <w:t>,4</w:t>
      </w:r>
      <w:r w:rsidR="00CE4BB7">
        <w:rPr>
          <w:rFonts w:eastAsia="ＭＳ 明朝" w:cs="Times New Roman"/>
        </w:rPr>
        <w:t xml:space="preserve">, Andrew J. Rominger </w:t>
      </w:r>
      <w:r w:rsidR="00067073">
        <w:rPr>
          <w:rFonts w:eastAsia="ＭＳ 明朝" w:cs="Times New Roman"/>
          <w:vertAlign w:val="superscript"/>
        </w:rPr>
        <w:t>2</w:t>
      </w:r>
    </w:p>
    <w:p w14:paraId="56028506" w14:textId="77777777" w:rsidR="009D47B4" w:rsidRPr="00712DB2" w:rsidRDefault="009D47B4" w:rsidP="00712DB2">
      <w:pPr>
        <w:spacing w:line="480" w:lineRule="auto"/>
      </w:pPr>
      <w:r w:rsidRPr="00712DB2">
        <w:rPr>
          <w:vertAlign w:val="superscript"/>
        </w:rPr>
        <w:t>1</w:t>
      </w:r>
      <w:r w:rsidRPr="00712DB2">
        <w:rPr>
          <w:rFonts w:eastAsia="ＭＳ 明朝" w:cs="Times New Roman"/>
          <w:vertAlign w:val="superscript"/>
        </w:rPr>
        <w:t xml:space="preserve"> </w:t>
      </w:r>
      <w:r w:rsidRPr="00712DB2">
        <w:rPr>
          <w:rFonts w:eastAsia="ＭＳ 明朝" w:cs="Times New Roman"/>
        </w:rPr>
        <w:t>Energy and Resources Group, University of California at Berkeley, 310 Barrows Hall, Berkeley, CA 94720, USA</w:t>
      </w:r>
    </w:p>
    <w:p w14:paraId="39B6228D" w14:textId="77777777" w:rsidR="009D47B4" w:rsidRPr="00712DB2" w:rsidRDefault="009D47B4" w:rsidP="00CE4BB7">
      <w:pPr>
        <w:spacing w:line="480" w:lineRule="auto"/>
        <w:rPr>
          <w:rFonts w:eastAsia="ＭＳ 明朝" w:cs="Times New Roman"/>
        </w:rPr>
      </w:pPr>
      <w:r w:rsidRPr="00712DB2">
        <w:rPr>
          <w:color w:val="000000"/>
          <w:vertAlign w:val="superscript"/>
        </w:rPr>
        <w:t>2</w:t>
      </w:r>
      <w:r w:rsidRPr="00712DB2">
        <w:rPr>
          <w:rFonts w:eastAsia="ＭＳ 明朝" w:cs="Times New Roman"/>
          <w:color w:val="000000"/>
        </w:rPr>
        <w:t xml:space="preserve"> Department</w:t>
      </w:r>
      <w:r w:rsidRPr="00712DB2">
        <w:rPr>
          <w:rFonts w:eastAsia="ＭＳ 明朝" w:cs="Times New Roman"/>
        </w:rPr>
        <w:t xml:space="preserve"> of Environmental Science, Policy, and Management, University of California at Berkeley, 130 </w:t>
      </w:r>
      <w:proofErr w:type="spellStart"/>
      <w:r w:rsidRPr="00712DB2">
        <w:rPr>
          <w:rFonts w:eastAsia="ＭＳ 明朝" w:cs="Times New Roman"/>
        </w:rPr>
        <w:t>Mulford</w:t>
      </w:r>
      <w:proofErr w:type="spellEnd"/>
      <w:r w:rsidRPr="00712DB2">
        <w:rPr>
          <w:rFonts w:eastAsia="ＭＳ 明朝" w:cs="Times New Roman"/>
        </w:rPr>
        <w:t xml:space="preserve"> Hall, Berkeley, CA 94720, USA</w:t>
      </w:r>
    </w:p>
    <w:p w14:paraId="1B58603B" w14:textId="77777777" w:rsidR="009D47B4" w:rsidRPr="00CE4BB7" w:rsidRDefault="009D47B4" w:rsidP="00CE4BB7">
      <w:pPr>
        <w:spacing w:line="480" w:lineRule="auto"/>
      </w:pPr>
      <w:r w:rsidRPr="00712DB2">
        <w:rPr>
          <w:vertAlign w:val="superscript"/>
        </w:rPr>
        <w:t>3</w:t>
      </w:r>
      <w:r w:rsidRPr="00712DB2">
        <w:t xml:space="preserve"> School of Natural Resources and the Environment, University of Arizona, Tucson, AZ 85719, </w:t>
      </w:r>
      <w:r w:rsidRPr="00CE4BB7">
        <w:t>USA</w:t>
      </w:r>
    </w:p>
    <w:p w14:paraId="28706537" w14:textId="77777777" w:rsidR="00CE4BB7" w:rsidRPr="00CE4BB7" w:rsidRDefault="00CE4BB7" w:rsidP="00CE4BB7">
      <w:pPr>
        <w:spacing w:line="480" w:lineRule="auto"/>
      </w:pPr>
      <w:r w:rsidRPr="00CE4BB7">
        <w:rPr>
          <w:vertAlign w:val="superscript"/>
        </w:rPr>
        <w:t>4</w:t>
      </w:r>
      <w:r w:rsidRPr="00CE4BB7">
        <w:t xml:space="preserve"> Pacific </w:t>
      </w:r>
      <w:proofErr w:type="spellStart"/>
      <w:r w:rsidRPr="00CE4BB7">
        <w:t>Wildland</w:t>
      </w:r>
      <w:proofErr w:type="spellEnd"/>
      <w:r w:rsidRPr="00CE4BB7">
        <w:t xml:space="preserve"> Fire Sciences Laboratory, USDA Forest Service, Seattle, WA 98103, USA</w:t>
      </w:r>
    </w:p>
    <w:p w14:paraId="7AE7C824" w14:textId="77777777" w:rsidR="009D47B4" w:rsidRPr="00CE4BB7" w:rsidRDefault="001430FD" w:rsidP="00CE4BB7">
      <w:pPr>
        <w:spacing w:line="480" w:lineRule="auto"/>
      </w:pPr>
      <w:r>
        <w:t>*Corresponding author e</w:t>
      </w:r>
      <w:r w:rsidR="009D47B4" w:rsidRPr="00CE4BB7">
        <w:t>mail: jharte@berkeley.edu</w:t>
      </w:r>
    </w:p>
    <w:p w14:paraId="28F61320" w14:textId="77777777" w:rsidR="001430FD" w:rsidRDefault="001430FD" w:rsidP="00CE4BB7">
      <w:pPr>
        <w:spacing w:line="480" w:lineRule="auto"/>
      </w:pPr>
    </w:p>
    <w:p w14:paraId="03488AD2" w14:textId="77777777" w:rsidR="00465633" w:rsidRDefault="001430FD" w:rsidP="00CE4BB7">
      <w:pPr>
        <w:spacing w:line="480" w:lineRule="auto"/>
      </w:pPr>
      <w:r w:rsidRPr="001430FD">
        <w:rPr>
          <w:b/>
        </w:rPr>
        <w:t>Keywords:</w:t>
      </w:r>
      <w:r w:rsidR="00BF7F6B">
        <w:rPr>
          <w:b/>
        </w:rPr>
        <w:t xml:space="preserve"> </w:t>
      </w:r>
      <w:r w:rsidR="006515F4" w:rsidRPr="006515F4">
        <w:t xml:space="preserve">macroecology, </w:t>
      </w:r>
      <w:r w:rsidR="00BF7F6B" w:rsidRPr="006515F4">
        <w:t>metabolism</w:t>
      </w:r>
      <w:r w:rsidR="00BF7F6B" w:rsidRPr="00BF7F6B">
        <w:t>,</w:t>
      </w:r>
      <w:r w:rsidR="00BF7F6B">
        <w:rPr>
          <w:b/>
        </w:rPr>
        <w:t xml:space="preserve"> </w:t>
      </w:r>
      <w:r w:rsidR="00BF7F6B" w:rsidRPr="00BF7F6B">
        <w:t>metabolic rate distribution,</w:t>
      </w:r>
      <w:r w:rsidR="00BF7F6B">
        <w:rPr>
          <w:b/>
        </w:rPr>
        <w:t xml:space="preserve"> </w:t>
      </w:r>
      <w:r w:rsidR="006515F4">
        <w:t>community structure</w:t>
      </w:r>
      <w:r w:rsidR="00BF7F6B">
        <w:t xml:space="preserve">, </w:t>
      </w:r>
      <w:proofErr w:type="gramStart"/>
      <w:r w:rsidR="004F18B7">
        <w:t>body</w:t>
      </w:r>
      <w:proofErr w:type="gramEnd"/>
      <w:r w:rsidR="004F18B7">
        <w:t>-</w:t>
      </w:r>
      <w:r w:rsidR="00BF7F6B">
        <w:t>size distribution</w:t>
      </w:r>
    </w:p>
    <w:p w14:paraId="110245C0" w14:textId="77777777" w:rsidR="001430FD" w:rsidRPr="00BF7F6B" w:rsidRDefault="001430FD" w:rsidP="00CE4BB7">
      <w:pPr>
        <w:spacing w:line="480" w:lineRule="auto"/>
      </w:pPr>
    </w:p>
    <w:p w14:paraId="1F3A97B8" w14:textId="77777777" w:rsidR="001430FD" w:rsidRDefault="00655218" w:rsidP="00CE4BB7">
      <w:pPr>
        <w:spacing w:line="480" w:lineRule="auto"/>
      </w:pPr>
      <w:r>
        <w:rPr>
          <w:b/>
        </w:rPr>
        <w:t>Running head</w:t>
      </w:r>
      <w:r w:rsidR="001430FD" w:rsidRPr="001430FD">
        <w:rPr>
          <w:b/>
        </w:rPr>
        <w:t>:</w:t>
      </w:r>
      <w:r w:rsidR="001430FD">
        <w:t xml:space="preserve"> Metabolic Partitioning </w:t>
      </w:r>
      <w:r w:rsidR="001430FD" w:rsidRPr="00712DB2">
        <w:t>in Ecological Communities</w:t>
      </w:r>
    </w:p>
    <w:p w14:paraId="25DB2478" w14:textId="77777777" w:rsidR="001430FD" w:rsidRDefault="001430FD" w:rsidP="00CE4BB7">
      <w:pPr>
        <w:spacing w:line="480" w:lineRule="auto"/>
      </w:pPr>
      <w:r w:rsidRPr="001430FD">
        <w:rPr>
          <w:b/>
        </w:rPr>
        <w:t>Corresponding author:</w:t>
      </w:r>
      <w:r>
        <w:t xml:space="preserve"> John Harte</w:t>
      </w:r>
    </w:p>
    <w:p w14:paraId="6312D307" w14:textId="77777777" w:rsidR="001430FD" w:rsidRPr="001430FD" w:rsidRDefault="001430FD" w:rsidP="00CE4BB7">
      <w:pPr>
        <w:spacing w:line="480" w:lineRule="auto"/>
      </w:pPr>
      <w:r w:rsidRPr="001430FD">
        <w:rPr>
          <w:b/>
        </w:rPr>
        <w:t>Number of words in the Abstract:</w:t>
      </w:r>
      <w:r>
        <w:rPr>
          <w:b/>
        </w:rPr>
        <w:t xml:space="preserve"> </w:t>
      </w:r>
      <w:r w:rsidR="005B65F7">
        <w:t>24</w:t>
      </w:r>
      <w:r w:rsidR="004F18B7">
        <w:t>4</w:t>
      </w:r>
    </w:p>
    <w:p w14:paraId="64369FAA" w14:textId="77777777" w:rsidR="004F18B7" w:rsidRPr="00CF2EE7" w:rsidDel="004F18B7" w:rsidRDefault="001430FD" w:rsidP="00CE4BB7">
      <w:pPr>
        <w:spacing w:line="480" w:lineRule="auto"/>
      </w:pPr>
      <w:r w:rsidRPr="001430FD">
        <w:rPr>
          <w:b/>
        </w:rPr>
        <w:t>Number of words in main text:</w:t>
      </w:r>
      <w:r w:rsidR="00CF2EE7">
        <w:rPr>
          <w:b/>
        </w:rPr>
        <w:t xml:space="preserve"> </w:t>
      </w:r>
      <w:r w:rsidR="00D70D09">
        <w:t>2153</w:t>
      </w:r>
      <w:r w:rsidR="00897C1A">
        <w:t xml:space="preserve"> </w:t>
      </w:r>
    </w:p>
    <w:p w14:paraId="1E981AB8" w14:textId="77777777" w:rsidR="001430FD" w:rsidRPr="00CF2EE7" w:rsidRDefault="001430FD" w:rsidP="00CE4BB7">
      <w:pPr>
        <w:spacing w:line="480" w:lineRule="auto"/>
      </w:pPr>
      <w:r w:rsidRPr="001430FD">
        <w:rPr>
          <w:b/>
        </w:rPr>
        <w:t>Number of references:</w:t>
      </w:r>
      <w:r w:rsidR="00CF2EE7">
        <w:rPr>
          <w:b/>
        </w:rPr>
        <w:t xml:space="preserve"> </w:t>
      </w:r>
      <w:r w:rsidR="00B237A9">
        <w:t>32</w:t>
      </w:r>
    </w:p>
    <w:p w14:paraId="4C45D624" w14:textId="77777777" w:rsidR="009D47B4" w:rsidRPr="00712DB2" w:rsidRDefault="009D47B4" w:rsidP="00CE4BB7">
      <w:pPr>
        <w:spacing w:line="480" w:lineRule="auto"/>
      </w:pPr>
    </w:p>
    <w:p w14:paraId="2E34FFFE" w14:textId="77777777" w:rsidR="009D47B4" w:rsidRDefault="009D47B4" w:rsidP="00C371B5">
      <w:pPr>
        <w:spacing w:line="480" w:lineRule="auto"/>
        <w:rPr>
          <w:b/>
        </w:rPr>
      </w:pPr>
      <w:r w:rsidRPr="00712DB2">
        <w:br w:type="page"/>
      </w:r>
      <w:r w:rsidRPr="008173CA">
        <w:rPr>
          <w:b/>
        </w:rPr>
        <w:lastRenderedPageBreak/>
        <w:t>ABSTRACT</w:t>
      </w:r>
      <w:r w:rsidR="001E006B">
        <w:rPr>
          <w:b/>
        </w:rPr>
        <w:t xml:space="preserve"> </w:t>
      </w:r>
    </w:p>
    <w:p w14:paraId="424D6FBE" w14:textId="77777777" w:rsidR="005B65F7" w:rsidRDefault="005B65F7" w:rsidP="00C371B5">
      <w:pPr>
        <w:spacing w:line="480" w:lineRule="auto"/>
        <w:rPr>
          <w:b/>
        </w:rPr>
      </w:pPr>
    </w:p>
    <w:p w14:paraId="2FC495E7" w14:textId="77777777" w:rsidR="005B65F7" w:rsidRPr="003A59AD" w:rsidRDefault="005B65F7" w:rsidP="005B65F7">
      <w:pPr>
        <w:spacing w:line="480" w:lineRule="auto"/>
        <w:rPr>
          <w:b/>
        </w:rPr>
      </w:pPr>
      <w:r w:rsidRPr="003A59AD">
        <w:rPr>
          <w:b/>
        </w:rPr>
        <w:t>Issue</w:t>
      </w:r>
    </w:p>
    <w:p w14:paraId="23B79C81" w14:textId="77777777" w:rsidR="005B65F7" w:rsidRDefault="005B65F7" w:rsidP="005B65F7">
      <w:pPr>
        <w:spacing w:line="480" w:lineRule="auto"/>
      </w:pPr>
      <w:r>
        <w:t xml:space="preserve">The mechanistic origin and shape of body-size distributions within communities are of considerable interest in ecology. </w:t>
      </w:r>
      <w:r w:rsidRPr="00712DB2">
        <w:t xml:space="preserve">A </w:t>
      </w:r>
      <w:r>
        <w:t xml:space="preserve">recently proposed </w:t>
      </w:r>
      <w:r w:rsidRPr="00712DB2">
        <w:t xml:space="preserve">light-limitation model by </w:t>
      </w:r>
      <w:proofErr w:type="spellStart"/>
      <w:r w:rsidRPr="00712DB2">
        <w:t>Farrior</w:t>
      </w:r>
      <w:proofErr w:type="spellEnd"/>
      <w:r w:rsidRPr="00712DB2">
        <w:t xml:space="preserve"> </w:t>
      </w:r>
      <w:r w:rsidRPr="00767C4F">
        <w:rPr>
          <w:i/>
        </w:rPr>
        <w:t>et al</w:t>
      </w:r>
      <w:r w:rsidRPr="00712DB2">
        <w:t>. (20</w:t>
      </w:r>
      <w:r>
        <w:t>16) provides a good fit to the distribution of tree siz</w:t>
      </w:r>
      <w:r w:rsidR="000862F6">
        <w:t xml:space="preserve">es in a tropical forest plot. </w:t>
      </w:r>
      <w:r>
        <w:t>The M</w:t>
      </w:r>
      <w:r w:rsidRPr="00712DB2">
        <w:t xml:space="preserve">aximum </w:t>
      </w:r>
      <w:r>
        <w:t>E</w:t>
      </w:r>
      <w:r w:rsidRPr="00712DB2">
        <w:t xml:space="preserve">ntropy </w:t>
      </w:r>
      <w:r>
        <w:t>T</w:t>
      </w:r>
      <w:r w:rsidRPr="00712DB2">
        <w:t xml:space="preserve">heory of </w:t>
      </w:r>
      <w:r>
        <w:t>E</w:t>
      </w:r>
      <w:r w:rsidRPr="00712DB2">
        <w:t xml:space="preserve">cology </w:t>
      </w:r>
      <w:r>
        <w:t>(METE) also predicts size distributions, but without explicit mechanistic assumptions, and thus its predictions should hold in ecosystems</w:t>
      </w:r>
      <w:r w:rsidR="005E6B00">
        <w:t xml:space="preserve"> generally</w:t>
      </w:r>
      <w:r>
        <w:t>, regardless of w</w:t>
      </w:r>
      <w:r w:rsidR="00A55633">
        <w:t xml:space="preserve">hether they are light-limited. </w:t>
      </w:r>
      <w:r>
        <w:t>A comparison of the form and success of the predictions of the model and the theory can provide insight into the role that mechanisms play in shaping patterns in macroecology.</w:t>
      </w:r>
      <w:r w:rsidR="00A55633">
        <w:t xml:space="preserve"> </w:t>
      </w:r>
    </w:p>
    <w:p w14:paraId="55FBD5AE" w14:textId="77777777" w:rsidR="005B65F7" w:rsidRDefault="005B65F7" w:rsidP="005B65F7">
      <w:pPr>
        <w:spacing w:line="480" w:lineRule="auto"/>
      </w:pPr>
    </w:p>
    <w:p w14:paraId="394165BA" w14:textId="77777777" w:rsidR="005B65F7" w:rsidRPr="003A59AD" w:rsidRDefault="005B65F7" w:rsidP="005B65F7">
      <w:pPr>
        <w:spacing w:line="480" w:lineRule="auto"/>
        <w:rPr>
          <w:b/>
        </w:rPr>
      </w:pPr>
      <w:r w:rsidRPr="003A59AD">
        <w:rPr>
          <w:b/>
        </w:rPr>
        <w:t>Evidence</w:t>
      </w:r>
    </w:p>
    <w:p w14:paraId="1CE87188" w14:textId="77777777" w:rsidR="005B65F7" w:rsidRDefault="005B65F7" w:rsidP="005B65F7">
      <w:pPr>
        <w:spacing w:line="480" w:lineRule="auto"/>
      </w:pPr>
      <w:r>
        <w:t xml:space="preserve">METE’s prediction of the size distribution of organisms is remarkably similar in form to the model prediction of </w:t>
      </w:r>
      <w:proofErr w:type="spellStart"/>
      <w:r>
        <w:t>Farrior</w:t>
      </w:r>
      <w:proofErr w:type="spellEnd"/>
      <w:r>
        <w:t xml:space="preserve"> </w:t>
      </w:r>
      <w:r w:rsidRPr="005E6B00">
        <w:rPr>
          <w:i/>
        </w:rPr>
        <w:t>et al.</w:t>
      </w:r>
      <w:r>
        <w:t xml:space="preserve"> (2016), predicting power-law </w:t>
      </w:r>
      <w:r w:rsidRPr="00712DB2">
        <w:t xml:space="preserve">behavior in the size range where </w:t>
      </w:r>
      <w:r>
        <w:t>the light-</w:t>
      </w:r>
      <w:r w:rsidR="00636018">
        <w:t>limitation</w:t>
      </w:r>
      <w:r>
        <w:t xml:space="preserve"> model</w:t>
      </w:r>
      <w:r w:rsidR="00A55633">
        <w:t xml:space="preserve"> </w:t>
      </w:r>
      <w:r w:rsidRPr="00712DB2">
        <w:t>predict</w:t>
      </w:r>
      <w:r>
        <w:t>s</w:t>
      </w:r>
      <w:r w:rsidRPr="00712DB2">
        <w:t xml:space="preserve"> a power</w:t>
      </w:r>
      <w:r>
        <w:t xml:space="preserve"> </w:t>
      </w:r>
      <w:r w:rsidRPr="00712DB2">
        <w:t xml:space="preserve">law, and exponential behavior in the size range </w:t>
      </w:r>
      <w:r>
        <w:t>where the model</w:t>
      </w:r>
      <w:r w:rsidRPr="00712DB2">
        <w:t xml:space="preserve"> predict</w:t>
      </w:r>
      <w:r>
        <w:t>s</w:t>
      </w:r>
      <w:r w:rsidRPr="00712DB2">
        <w:t xml:space="preserve"> an exponential tail</w:t>
      </w:r>
      <w:r>
        <w:t>.</w:t>
      </w:r>
      <w:r w:rsidR="00A55633">
        <w:t xml:space="preserve"> </w:t>
      </w:r>
      <w:r>
        <w:t>The METE prediction m</w:t>
      </w:r>
      <w:r w:rsidRPr="00712DB2">
        <w:t>atch</w:t>
      </w:r>
      <w:r>
        <w:t>es</w:t>
      </w:r>
      <w:r w:rsidRPr="00712DB2">
        <w:t xml:space="preserve"> data widely, including in ecosystems where light is not limiting</w:t>
      </w:r>
      <w:r>
        <w:t>.</w:t>
      </w:r>
      <w:r w:rsidR="00A55633">
        <w:t xml:space="preserve"> </w:t>
      </w:r>
      <w:r>
        <w:t xml:space="preserve">We show examples for three disparate communities: trees in a tropical forest plot, herbaceous plants in a treeless subalpine meadow, and </w:t>
      </w:r>
      <w:r w:rsidR="004F18B7">
        <w:t xml:space="preserve">island </w:t>
      </w:r>
      <w:r>
        <w:t xml:space="preserve">arthropods. </w:t>
      </w:r>
    </w:p>
    <w:p w14:paraId="1C582388" w14:textId="77777777" w:rsidR="005B65F7" w:rsidRDefault="005B65F7" w:rsidP="005B65F7">
      <w:pPr>
        <w:spacing w:line="480" w:lineRule="auto"/>
      </w:pPr>
    </w:p>
    <w:p w14:paraId="7C57E9ED" w14:textId="77777777" w:rsidR="005B65F7" w:rsidRPr="003A59AD" w:rsidRDefault="005B65F7" w:rsidP="005B65F7">
      <w:pPr>
        <w:spacing w:line="480" w:lineRule="auto"/>
        <w:rPr>
          <w:b/>
        </w:rPr>
      </w:pPr>
      <w:r w:rsidRPr="003A59AD">
        <w:rPr>
          <w:b/>
        </w:rPr>
        <w:t>Conclusion</w:t>
      </w:r>
    </w:p>
    <w:p w14:paraId="53B61AEA" w14:textId="77777777" w:rsidR="005B65F7" w:rsidRDefault="005B65F7" w:rsidP="005B65F7">
      <w:pPr>
        <w:spacing w:line="480" w:lineRule="auto"/>
      </w:pPr>
      <w:r>
        <w:t xml:space="preserve">The success of METE’s predicted form across systems, including those that are clearly not light limited, enriches our capacity to predict patterns in macroecology without making explicit mechanistic assumptions, and provides a unified framework that can capture ubiquitous features of those patterns across </w:t>
      </w:r>
      <w:r w:rsidR="005E6B00">
        <w:t xml:space="preserve">diverse </w:t>
      </w:r>
      <w:r>
        <w:t xml:space="preserve">ecosystems governed by a variety of mechanisms. </w:t>
      </w:r>
    </w:p>
    <w:p w14:paraId="0C33598E" w14:textId="77777777" w:rsidR="005B65F7" w:rsidRPr="008173CA" w:rsidRDefault="005B65F7" w:rsidP="00C371B5">
      <w:pPr>
        <w:spacing w:line="480" w:lineRule="auto"/>
        <w:rPr>
          <w:b/>
        </w:rPr>
      </w:pPr>
    </w:p>
    <w:p w14:paraId="28FF4832" w14:textId="77777777" w:rsidR="008173CA" w:rsidRPr="008173CA" w:rsidRDefault="009D47B4" w:rsidP="00712DB2">
      <w:pPr>
        <w:spacing w:line="480" w:lineRule="auto"/>
        <w:rPr>
          <w:b/>
        </w:rPr>
      </w:pPr>
      <w:r w:rsidRPr="00712DB2">
        <w:br w:type="page"/>
      </w:r>
      <w:r w:rsidR="008173CA" w:rsidRPr="008173CA">
        <w:rPr>
          <w:b/>
        </w:rPr>
        <w:t>INTRODUCTION</w:t>
      </w:r>
    </w:p>
    <w:p w14:paraId="64817510" w14:textId="77777777" w:rsidR="009D47B4" w:rsidRPr="00712DB2" w:rsidRDefault="009D47B4" w:rsidP="00712DB2">
      <w:pPr>
        <w:spacing w:line="480" w:lineRule="auto"/>
      </w:pPr>
      <w:r w:rsidRPr="00712DB2">
        <w:t xml:space="preserve">Among the many patterns in nature that </w:t>
      </w:r>
      <w:proofErr w:type="spellStart"/>
      <w:r w:rsidRPr="00712DB2">
        <w:t>macroecologists</w:t>
      </w:r>
      <w:proofErr w:type="spellEnd"/>
      <w:r w:rsidRPr="00712DB2">
        <w:t xml:space="preserve"> seek to predict are the shape and spatial-scale-dependence of the distribution of body sizes or metabolic rates across individuals within a broad taxonomic group (Brown </w:t>
      </w:r>
      <w:r w:rsidR="00597380">
        <w:t>&amp;</w:t>
      </w:r>
      <w:r w:rsidRPr="00712DB2">
        <w:t xml:space="preserve"> Maurer, 1986; Gaston </w:t>
      </w:r>
      <w:r w:rsidR="00597380">
        <w:t>&amp;</w:t>
      </w:r>
      <w:r w:rsidRPr="00712DB2">
        <w:t xml:space="preserve"> Blackburn, 2000).</w:t>
      </w:r>
      <w:r w:rsidR="001F6B20">
        <w:t xml:space="preserve"> </w:t>
      </w:r>
      <w:r w:rsidR="002236C7">
        <w:t xml:space="preserve">Models that </w:t>
      </w:r>
      <w:r w:rsidR="0051307F">
        <w:t>propose</w:t>
      </w:r>
      <w:r w:rsidR="002236C7">
        <w:t xml:space="preserve"> to exp</w:t>
      </w:r>
      <w:r w:rsidR="00571695">
        <w:t xml:space="preserve">lain the greater abundance of small-bodied organisms than large-bodied organisms in a given ecosystem have invoked </w:t>
      </w:r>
      <w:r w:rsidRPr="00712DB2">
        <w:t xml:space="preserve">resource allocation (Hutchinson </w:t>
      </w:r>
      <w:r w:rsidR="00597380">
        <w:t>&amp;</w:t>
      </w:r>
      <w:r w:rsidRPr="00712DB2">
        <w:t xml:space="preserve"> MacArthur, 1959; Ritchie, 2010), </w:t>
      </w:r>
      <w:r w:rsidR="00571695">
        <w:t>macroevolution</w:t>
      </w:r>
      <w:r w:rsidRPr="00712DB2">
        <w:t xml:space="preserve"> (</w:t>
      </w:r>
      <w:r w:rsidR="00571695" w:rsidRPr="00712DB2">
        <w:t>Maurer, 1988</w:t>
      </w:r>
      <w:r w:rsidR="00571695">
        <w:t xml:space="preserve">; </w:t>
      </w:r>
      <w:proofErr w:type="spellStart"/>
      <w:r w:rsidRPr="00712DB2">
        <w:t>Clauset</w:t>
      </w:r>
      <w:proofErr w:type="spellEnd"/>
      <w:r w:rsidRPr="00712DB2">
        <w:t xml:space="preserve"> </w:t>
      </w:r>
      <w:r w:rsidR="00597380">
        <w:t>&amp;</w:t>
      </w:r>
      <w:r w:rsidRPr="00712DB2">
        <w:t xml:space="preserve"> Erwin, 2008; </w:t>
      </w:r>
      <w:proofErr w:type="spellStart"/>
      <w:r w:rsidRPr="00712DB2">
        <w:t>Clauset</w:t>
      </w:r>
      <w:proofErr w:type="spellEnd"/>
      <w:r w:rsidRPr="00712DB2">
        <w:t xml:space="preserve"> </w:t>
      </w:r>
      <w:r w:rsidR="00597380">
        <w:t>&amp;</w:t>
      </w:r>
      <w:r w:rsidRPr="00712DB2">
        <w:t xml:space="preserve"> </w:t>
      </w:r>
      <w:proofErr w:type="spellStart"/>
      <w:r w:rsidRPr="00712DB2">
        <w:t>Redner</w:t>
      </w:r>
      <w:proofErr w:type="spellEnd"/>
      <w:r w:rsidRPr="00712DB2">
        <w:t>, 2009), and</w:t>
      </w:r>
      <w:r w:rsidR="001F6B20">
        <w:t xml:space="preserve"> </w:t>
      </w:r>
      <w:r w:rsidRPr="00712DB2">
        <w:t>birth-death processes (</w:t>
      </w:r>
      <w:r w:rsidR="00D81D27">
        <w:t xml:space="preserve">Maurer </w:t>
      </w:r>
      <w:r w:rsidR="00D81D27" w:rsidRPr="00597380">
        <w:rPr>
          <w:i/>
        </w:rPr>
        <w:t>et al</w:t>
      </w:r>
      <w:r w:rsidR="00D81D27" w:rsidRPr="00712DB2">
        <w:t xml:space="preserve">., </w:t>
      </w:r>
      <w:r w:rsidRPr="00712DB2">
        <w:t xml:space="preserve">1992). Although nearly all such efforts </w:t>
      </w:r>
      <w:r w:rsidR="00FE6AEF">
        <w:t>reproduce the pattern of</w:t>
      </w:r>
      <w:r w:rsidRPr="00712DB2">
        <w:t xml:space="preserve"> small individuals outnumber</w:t>
      </w:r>
      <w:r w:rsidR="00FE6AEF">
        <w:t>ing</w:t>
      </w:r>
      <w:r w:rsidRPr="00712DB2">
        <w:t xml:space="preserve"> large individuals, there is no </w:t>
      </w:r>
      <w:r w:rsidR="003A59AD" w:rsidRPr="00712DB2">
        <w:t>consensus</w:t>
      </w:r>
      <w:r w:rsidRPr="00712DB2">
        <w:t xml:space="preserve"> as to the underlying mechanisms that shape body size distributions</w:t>
      </w:r>
      <w:r w:rsidR="00342080">
        <w:t xml:space="preserve"> (McGill &amp; </w:t>
      </w:r>
      <w:proofErr w:type="spellStart"/>
      <w:r w:rsidR="00342080">
        <w:t>Nekola</w:t>
      </w:r>
      <w:proofErr w:type="spellEnd"/>
      <w:r w:rsidR="00342080">
        <w:t>, 2010)</w:t>
      </w:r>
      <w:r w:rsidRPr="00712DB2">
        <w:t xml:space="preserve">, nor if any common distribution function, such as </w:t>
      </w:r>
      <w:r w:rsidR="00155078">
        <w:t xml:space="preserve">a power law or a </w:t>
      </w:r>
      <w:r w:rsidRPr="00712DB2">
        <w:t xml:space="preserve">lognormal, provides the best description (Gaston </w:t>
      </w:r>
      <w:r w:rsidR="00597380">
        <w:t>&amp;</w:t>
      </w:r>
      <w:r w:rsidRPr="00712DB2">
        <w:t xml:space="preserve"> Blackburn, 2000).</w:t>
      </w:r>
      <w:r w:rsidR="001F6B20">
        <w:t xml:space="preserve"> </w:t>
      </w:r>
    </w:p>
    <w:p w14:paraId="5574CAEA" w14:textId="77777777" w:rsidR="00640DB5" w:rsidRDefault="00995A1C" w:rsidP="00640DB5">
      <w:pPr>
        <w:spacing w:line="480" w:lineRule="auto"/>
        <w:ind w:firstLine="720"/>
      </w:pPr>
      <w:r>
        <w:t xml:space="preserve">Recently, </w:t>
      </w:r>
      <w:proofErr w:type="spellStart"/>
      <w:r w:rsidRPr="00712DB2">
        <w:t>Farrior</w:t>
      </w:r>
      <w:proofErr w:type="spellEnd"/>
      <w:r>
        <w:t xml:space="preserve"> </w:t>
      </w:r>
      <w:r w:rsidRPr="00767C4F">
        <w:rPr>
          <w:i/>
        </w:rPr>
        <w:t>et al</w:t>
      </w:r>
      <w:r w:rsidRPr="00712DB2">
        <w:t xml:space="preserve">. (2016) </w:t>
      </w:r>
      <w:r>
        <w:t xml:space="preserve">have </w:t>
      </w:r>
      <w:r w:rsidRPr="00712DB2">
        <w:t>proposed a light-competition model</w:t>
      </w:r>
      <w:r>
        <w:t xml:space="preserve"> t</w:t>
      </w:r>
      <w:r w:rsidR="009D47B4" w:rsidRPr="00712DB2">
        <w:t xml:space="preserve">o describe the distribution of tree sizes in the </w:t>
      </w:r>
      <w:proofErr w:type="spellStart"/>
      <w:r w:rsidR="009D47B4" w:rsidRPr="00712DB2">
        <w:t>Barro</w:t>
      </w:r>
      <w:proofErr w:type="spellEnd"/>
      <w:r w:rsidR="009D47B4" w:rsidRPr="00712DB2">
        <w:t xml:space="preserve"> Colorado Island (BCI) forest plot in Panama (Hubbell </w:t>
      </w:r>
      <w:r w:rsidR="009D47B4" w:rsidRPr="00597380">
        <w:rPr>
          <w:i/>
        </w:rPr>
        <w:t>et al</w:t>
      </w:r>
      <w:r w:rsidR="009D47B4" w:rsidRPr="00712DB2">
        <w:t>., 2005)</w:t>
      </w:r>
      <w:r>
        <w:t xml:space="preserve">. </w:t>
      </w:r>
      <w:r w:rsidR="009D47B4" w:rsidRPr="00712DB2">
        <w:t>With suitably chosen parameters</w:t>
      </w:r>
      <w:r>
        <w:t>,</w:t>
      </w:r>
      <w:r w:rsidR="009D47B4" w:rsidRPr="00712DB2">
        <w:t xml:space="preserve"> it describes adequately the distribution</w:t>
      </w:r>
      <w:r w:rsidR="00767C4F">
        <w:t xml:space="preserve"> of stem diameters in that </w:t>
      </w:r>
      <w:r w:rsidR="00EE1EF3">
        <w:t>50-</w:t>
      </w:r>
      <w:r w:rsidR="00767C4F">
        <w:t xml:space="preserve">hectare </w:t>
      </w:r>
      <w:r w:rsidR="009D47B4" w:rsidRPr="00712DB2">
        <w:t>plot.</w:t>
      </w:r>
      <w:r w:rsidR="001F6B20">
        <w:t xml:space="preserve"> </w:t>
      </w:r>
      <w:r w:rsidR="009D47B4" w:rsidRPr="00712DB2">
        <w:t>In particular, the model predicts power-law behavior for the size distribution of the smaller trees and exponential behavior for the size distribution of the larger trees.</w:t>
      </w:r>
      <w:r w:rsidR="00A55633">
        <w:t xml:space="preserve"> </w:t>
      </w:r>
      <w:r w:rsidR="002B3C78">
        <w:t xml:space="preserve">We note that </w:t>
      </w:r>
      <w:r w:rsidR="004844A3">
        <w:t xml:space="preserve">within the framework of metabolic scaling theory, </w:t>
      </w:r>
      <w:proofErr w:type="spellStart"/>
      <w:r w:rsidR="002B3C78">
        <w:t>Enquist</w:t>
      </w:r>
      <w:proofErr w:type="spellEnd"/>
      <w:r w:rsidR="002B3C78">
        <w:t xml:space="preserve"> and </w:t>
      </w:r>
      <w:proofErr w:type="spellStart"/>
      <w:r w:rsidR="002B3C78">
        <w:t>Niklas</w:t>
      </w:r>
      <w:proofErr w:type="spellEnd"/>
      <w:r w:rsidR="002B3C78">
        <w:t xml:space="preserve"> (2001) also find </w:t>
      </w:r>
      <w:r w:rsidR="004844A3">
        <w:t xml:space="preserve">support for </w:t>
      </w:r>
      <w:r w:rsidR="002B3C78">
        <w:t>approximate power</w:t>
      </w:r>
      <w:r w:rsidR="00AA0719">
        <w:t>-</w:t>
      </w:r>
      <w:r w:rsidR="002B3C78">
        <w:t xml:space="preserve">law behavior for stem diameters </w:t>
      </w:r>
      <w:r w:rsidR="004844A3">
        <w:t>of trees.</w:t>
      </w:r>
      <w:r w:rsidR="00A55633">
        <w:t xml:space="preserve"> </w:t>
      </w:r>
    </w:p>
    <w:p w14:paraId="7C99669E" w14:textId="77777777" w:rsidR="009D47B4" w:rsidRPr="00712DB2" w:rsidRDefault="009D47B4" w:rsidP="00640DB5">
      <w:pPr>
        <w:spacing w:line="480" w:lineRule="auto"/>
        <w:ind w:firstLine="720"/>
      </w:pPr>
      <w:r w:rsidRPr="00712DB2">
        <w:t xml:space="preserve">We show here that the Maximum Entropy Theory of Ecology (METE; Harte </w:t>
      </w:r>
      <w:r w:rsidRPr="00767C4F">
        <w:rPr>
          <w:i/>
        </w:rPr>
        <w:t>et al</w:t>
      </w:r>
      <w:r w:rsidRPr="00712DB2">
        <w:t xml:space="preserve">., 2008; Harte and Newman, 2014) predicts very similar behavior to that </w:t>
      </w:r>
      <w:r w:rsidR="00E924D4">
        <w:t>of</w:t>
      </w:r>
      <w:r w:rsidRPr="00712DB2">
        <w:t xml:space="preserve"> </w:t>
      </w:r>
      <w:proofErr w:type="spellStart"/>
      <w:r w:rsidR="00767C4F" w:rsidRPr="00712DB2">
        <w:t>Farrior</w:t>
      </w:r>
      <w:proofErr w:type="spellEnd"/>
      <w:r w:rsidR="00D81D27">
        <w:t xml:space="preserve"> </w:t>
      </w:r>
      <w:r w:rsidR="00767C4F" w:rsidRPr="00767C4F">
        <w:rPr>
          <w:i/>
        </w:rPr>
        <w:t>et al</w:t>
      </w:r>
      <w:r w:rsidR="00767C4F" w:rsidRPr="00712DB2">
        <w:t xml:space="preserve">. </w:t>
      </w:r>
      <w:r w:rsidRPr="00712DB2">
        <w:t>(2016) for the body size distribution</w:t>
      </w:r>
      <w:r w:rsidR="00E16721">
        <w:t xml:space="preserve">, but without reliance </w:t>
      </w:r>
      <w:r w:rsidR="00E16721" w:rsidRPr="00E16721">
        <w:t>on a</w:t>
      </w:r>
      <w:r w:rsidR="005F4935">
        <w:t>n explicit</w:t>
      </w:r>
      <w:r w:rsidR="00E16721" w:rsidRPr="00E16721">
        <w:t xml:space="preserve"> light-limitation mechanism.</w:t>
      </w:r>
      <w:r w:rsidR="00E16721">
        <w:t xml:space="preserve"> In practice, METE’s </w:t>
      </w:r>
      <w:r w:rsidR="00E16721" w:rsidRPr="00712DB2">
        <w:t xml:space="preserve">predicted size distribution describes communities </w:t>
      </w:r>
      <w:r w:rsidR="00E16721">
        <w:t xml:space="preserve">regardless </w:t>
      </w:r>
      <w:r w:rsidR="00E16721" w:rsidRPr="00E16721">
        <w:t>of whether they are light limited</w:t>
      </w:r>
      <w:r w:rsidR="00AA0719">
        <w:t xml:space="preserve"> or otherwise resource-constrained</w:t>
      </w:r>
      <w:r w:rsidRPr="00E16721">
        <w:t>.</w:t>
      </w:r>
      <w:r w:rsidR="001F6B20">
        <w:t xml:space="preserve"> </w:t>
      </w:r>
      <w:r w:rsidRPr="00712DB2">
        <w:t>METE’s predictions derive from the maximum entropy inference procedure (</w:t>
      </w:r>
      <w:proofErr w:type="spellStart"/>
      <w:r w:rsidRPr="00712DB2">
        <w:t>Jaynes</w:t>
      </w:r>
      <w:proofErr w:type="spellEnd"/>
      <w:r w:rsidRPr="00712DB2">
        <w:t>, 19</w:t>
      </w:r>
      <w:r w:rsidR="00D81D27">
        <w:t>57; 1982; Harte, 2011; Harte &amp;</w:t>
      </w:r>
      <w:r w:rsidRPr="00712DB2">
        <w:t xml:space="preserve"> Newman, 2014) and </w:t>
      </w:r>
      <w:r w:rsidR="00E16721">
        <w:t>require</w:t>
      </w:r>
      <w:r w:rsidRPr="00712DB2">
        <w:t xml:space="preserve"> </w:t>
      </w:r>
      <w:r w:rsidRPr="003255E5">
        <w:t>no explicit assumptions about governing mechanisms</w:t>
      </w:r>
      <w:r w:rsidR="00155078">
        <w:t>.</w:t>
      </w:r>
      <w:r w:rsidR="00A55633">
        <w:t xml:space="preserve"> </w:t>
      </w:r>
      <w:r w:rsidR="00155078">
        <w:t>I</w:t>
      </w:r>
      <w:r w:rsidR="003255E5">
        <w:t>nstead</w:t>
      </w:r>
      <w:r w:rsidR="00155078">
        <w:t xml:space="preserve">, </w:t>
      </w:r>
      <w:proofErr w:type="gramStart"/>
      <w:r w:rsidR="003A7A97">
        <w:t>predictions are derived</w:t>
      </w:r>
      <w:r w:rsidR="00155078">
        <w:t xml:space="preserve"> by</w:t>
      </w:r>
      <w:r w:rsidR="003255E5">
        <w:t xml:space="preserve"> maximizing residual information that remains unknown after </w:t>
      </w:r>
      <w:r w:rsidR="00155078">
        <w:t>empirical con</w:t>
      </w:r>
      <w:r w:rsidR="005F4935">
        <w:t>straints are imposed</w:t>
      </w:r>
      <w:proofErr w:type="gramEnd"/>
      <w:r w:rsidR="005F4935">
        <w:t>.</w:t>
      </w:r>
      <w:r w:rsidR="00A55633">
        <w:t xml:space="preserve"> </w:t>
      </w:r>
      <w:r w:rsidR="005F4935">
        <w:t>T</w:t>
      </w:r>
      <w:r w:rsidR="003255E5">
        <w:t xml:space="preserve">he </w:t>
      </w:r>
      <w:r w:rsidR="00155078">
        <w:t xml:space="preserve">constraints </w:t>
      </w:r>
      <w:r w:rsidR="003A7A97">
        <w:t xml:space="preserve">are ratios of </w:t>
      </w:r>
      <w:r w:rsidR="005F4935">
        <w:t xml:space="preserve">measured </w:t>
      </w:r>
      <w:r w:rsidR="003255E5">
        <w:t>state variables</w:t>
      </w:r>
      <w:r w:rsidR="005F4935">
        <w:t xml:space="preserve">, </w:t>
      </w:r>
      <w:r w:rsidR="003255E5" w:rsidRPr="00712DB2">
        <w:rPr>
          <w:i/>
        </w:rPr>
        <w:t>S</w:t>
      </w:r>
      <w:r w:rsidR="003255E5" w:rsidRPr="00712DB2">
        <w:rPr>
          <w:vertAlign w:val="subscript"/>
        </w:rPr>
        <w:t>0</w:t>
      </w:r>
      <w:r w:rsidR="003255E5" w:rsidRPr="00712DB2">
        <w:t xml:space="preserve">, </w:t>
      </w:r>
      <w:r w:rsidR="003255E5" w:rsidRPr="00712DB2">
        <w:rPr>
          <w:i/>
        </w:rPr>
        <w:t>N</w:t>
      </w:r>
      <w:r w:rsidR="003255E5" w:rsidRPr="00712DB2">
        <w:rPr>
          <w:vertAlign w:val="subscript"/>
        </w:rPr>
        <w:t>0</w:t>
      </w:r>
      <w:r w:rsidR="003255E5" w:rsidRPr="00712DB2">
        <w:t xml:space="preserve">, </w:t>
      </w:r>
      <w:r w:rsidR="005F4935">
        <w:t xml:space="preserve">and </w:t>
      </w:r>
      <w:r w:rsidR="003255E5" w:rsidRPr="00712DB2">
        <w:rPr>
          <w:i/>
        </w:rPr>
        <w:t>E</w:t>
      </w:r>
      <w:r w:rsidR="003255E5" w:rsidRPr="00712DB2">
        <w:rPr>
          <w:vertAlign w:val="subscript"/>
        </w:rPr>
        <w:t>0</w:t>
      </w:r>
      <w:r w:rsidR="005F4935">
        <w:t>,</w:t>
      </w:r>
      <w:r w:rsidR="003255E5" w:rsidRPr="00712DB2">
        <w:t xml:space="preserve"> which correspond, respectively, to the total number of species in the plot, the total number of individual</w:t>
      </w:r>
      <w:r w:rsidR="003255E5">
        <w:t>s</w:t>
      </w:r>
      <w:r w:rsidR="003255E5" w:rsidRPr="00712DB2">
        <w:t xml:space="preserve"> in the plot, and their total combined metabolic rate</w:t>
      </w:r>
      <w:r w:rsidR="005F4935">
        <w:t xml:space="preserve">. </w:t>
      </w:r>
      <w:r w:rsidR="00294683">
        <w:t>Aside from the</w:t>
      </w:r>
      <w:r w:rsidR="00AE6D7B">
        <w:t>se empirical constraints</w:t>
      </w:r>
      <w:r w:rsidR="00294683">
        <w:t>, METE</w:t>
      </w:r>
      <w:r w:rsidR="00AE6D7B">
        <w:t>, in contrast with models that contain base parameters that are free to vary (</w:t>
      </w:r>
      <w:proofErr w:type="spellStart"/>
      <w:r w:rsidR="00AE6D7B">
        <w:t>O’Dwyer</w:t>
      </w:r>
      <w:proofErr w:type="spellEnd"/>
      <w:r w:rsidR="00AE6D7B">
        <w:t xml:space="preserve"> </w:t>
      </w:r>
      <w:r w:rsidR="00AE6D7B" w:rsidRPr="00AE6D7B">
        <w:rPr>
          <w:i/>
        </w:rPr>
        <w:t>et al.</w:t>
      </w:r>
      <w:r w:rsidR="0051307F">
        <w:t>,</w:t>
      </w:r>
      <w:r w:rsidR="00AE6D7B">
        <w:t xml:space="preserve"> 2017</w:t>
      </w:r>
      <w:r w:rsidR="00AE6D7B" w:rsidRPr="00AE6D7B">
        <w:t>)</w:t>
      </w:r>
      <w:r w:rsidR="00487276">
        <w:t>,</w:t>
      </w:r>
      <w:r w:rsidR="00294683" w:rsidRPr="00AE6D7B">
        <w:t xml:space="preserve"> </w:t>
      </w:r>
      <w:r w:rsidRPr="00AE6D7B">
        <w:t>contains no</w:t>
      </w:r>
      <w:r w:rsidR="00AE6D7B" w:rsidRPr="00AE6D7B">
        <w:t xml:space="preserve"> </w:t>
      </w:r>
      <w:r w:rsidRPr="00AE6D7B">
        <w:t>fitt</w:t>
      </w:r>
      <w:r w:rsidR="004B5712" w:rsidRPr="00AE6D7B">
        <w:t>ed</w:t>
      </w:r>
      <w:r w:rsidRPr="00AE6D7B">
        <w:t xml:space="preserve"> parameters</w:t>
      </w:r>
      <w:r w:rsidR="00487276">
        <w:t>.</w:t>
      </w:r>
      <w:r w:rsidRPr="00AE6D7B">
        <w:t xml:space="preserve"> </w:t>
      </w:r>
      <w:r w:rsidR="00487276">
        <w:t>A</w:t>
      </w:r>
      <w:r w:rsidR="0051307F">
        <w:t xml:space="preserve">dditionally, </w:t>
      </w:r>
      <w:r w:rsidR="00487276">
        <w:t xml:space="preserve">METE </w:t>
      </w:r>
      <w:r w:rsidRPr="00712DB2">
        <w:t xml:space="preserve">successfully predicts many other macroecological metrics, such as the species-abundance distribution and the species-area relationship (Harte </w:t>
      </w:r>
      <w:r w:rsidRPr="00597380">
        <w:rPr>
          <w:i/>
        </w:rPr>
        <w:t>et al</w:t>
      </w:r>
      <w:r w:rsidRPr="00712DB2">
        <w:t>., 2008; 2009;</w:t>
      </w:r>
      <w:r w:rsidR="008F1D65">
        <w:t xml:space="preserve"> 2015</w:t>
      </w:r>
      <w:r w:rsidR="00AA0719">
        <w:t>; Harte 2011</w:t>
      </w:r>
      <w:r w:rsidR="008F1D65">
        <w:t xml:space="preserve">), </w:t>
      </w:r>
      <w:r w:rsidR="00487276">
        <w:t>as well as</w:t>
      </w:r>
      <w:r w:rsidR="008F1D65">
        <w:t xml:space="preserve"> the </w:t>
      </w:r>
      <w:r w:rsidRPr="00712DB2">
        <w:t xml:space="preserve">distribution </w:t>
      </w:r>
      <w:r w:rsidR="008F1D65">
        <w:t xml:space="preserve">of metabolic rates </w:t>
      </w:r>
      <w:r w:rsidRPr="00712DB2">
        <w:t>across individuals</w:t>
      </w:r>
      <w:r w:rsidR="008E217A">
        <w:t xml:space="preserve"> (Harte 2011, Newman </w:t>
      </w:r>
      <w:r w:rsidR="00597380" w:rsidRPr="00597380">
        <w:rPr>
          <w:i/>
        </w:rPr>
        <w:t>et al</w:t>
      </w:r>
      <w:r w:rsidR="00597380">
        <w:rPr>
          <w:i/>
        </w:rPr>
        <w:t>.</w:t>
      </w:r>
      <w:r w:rsidR="00D81D27">
        <w:t>,</w:t>
      </w:r>
      <w:r w:rsidR="00597380">
        <w:t xml:space="preserve"> </w:t>
      </w:r>
      <w:r w:rsidR="008E217A">
        <w:t xml:space="preserve">2014, Xiao </w:t>
      </w:r>
      <w:r w:rsidR="00597380" w:rsidRPr="00597380">
        <w:rPr>
          <w:i/>
        </w:rPr>
        <w:t>et al</w:t>
      </w:r>
      <w:r w:rsidR="00597380">
        <w:rPr>
          <w:i/>
        </w:rPr>
        <w:t>.</w:t>
      </w:r>
      <w:r w:rsidR="00D81D27">
        <w:t>,</w:t>
      </w:r>
      <w:r w:rsidR="00597380">
        <w:t xml:space="preserve"> </w:t>
      </w:r>
      <w:r w:rsidR="008E217A">
        <w:t>2015)</w:t>
      </w:r>
      <w:r w:rsidRPr="00712DB2">
        <w:t xml:space="preserve">. </w:t>
      </w:r>
    </w:p>
    <w:p w14:paraId="2402C605" w14:textId="77777777" w:rsidR="008173CA" w:rsidRDefault="008173CA" w:rsidP="00712DB2">
      <w:pPr>
        <w:spacing w:line="480" w:lineRule="auto"/>
      </w:pPr>
    </w:p>
    <w:p w14:paraId="197362CB" w14:textId="77777777" w:rsidR="009D47B4" w:rsidRPr="008173CA" w:rsidRDefault="009D4F24" w:rsidP="00712DB2">
      <w:pPr>
        <w:spacing w:line="480" w:lineRule="auto"/>
        <w:rPr>
          <w:b/>
        </w:rPr>
      </w:pPr>
      <w:r>
        <w:rPr>
          <w:b/>
        </w:rPr>
        <w:t xml:space="preserve">METABOLIC RATE DISTRIBUTIONS CAN BE PREDICTED WITHOUT INVOKING </w:t>
      </w:r>
      <w:r w:rsidR="003A7A97">
        <w:rPr>
          <w:b/>
        </w:rPr>
        <w:t xml:space="preserve">EXPLICIT </w:t>
      </w:r>
      <w:r>
        <w:rPr>
          <w:b/>
        </w:rPr>
        <w:t>MECHANISM</w:t>
      </w:r>
      <w:r w:rsidR="003A7A97">
        <w:rPr>
          <w:b/>
        </w:rPr>
        <w:t>S</w:t>
      </w:r>
    </w:p>
    <w:p w14:paraId="7AA1C954" w14:textId="77777777" w:rsidR="009D47B4" w:rsidRPr="00712DB2" w:rsidRDefault="009D47B4" w:rsidP="00712DB2">
      <w:pPr>
        <w:spacing w:line="480" w:lineRule="auto"/>
      </w:pPr>
      <w:r w:rsidRPr="00712DB2">
        <w:t>METE predicts the distribution of metabolic rates, rather than of sizes or masses, across individuals in the community.</w:t>
      </w:r>
      <w:r w:rsidR="001F6B20">
        <w:t xml:space="preserve"> </w:t>
      </w:r>
      <w:r w:rsidRPr="00712DB2">
        <w:t xml:space="preserve">To extend the prediction from metabolic rate to tree basal area, we use results from tree </w:t>
      </w:r>
      <w:proofErr w:type="spellStart"/>
      <w:r w:rsidRPr="00712DB2">
        <w:t>allometry</w:t>
      </w:r>
      <w:proofErr w:type="spellEnd"/>
      <w:r w:rsidRPr="00712DB2">
        <w:t xml:space="preserve"> and metabolic scaling theory and thus assume metabolic rate scales as the square of stem diameter (</w:t>
      </w:r>
      <w:proofErr w:type="spellStart"/>
      <w:r w:rsidR="00726FCC">
        <w:t>Enquist</w:t>
      </w:r>
      <w:proofErr w:type="spellEnd"/>
      <w:r w:rsidR="00726FCC">
        <w:t xml:space="preserve"> </w:t>
      </w:r>
      <w:r w:rsidR="00597380">
        <w:t>&amp;</w:t>
      </w:r>
      <w:r w:rsidR="00726FCC">
        <w:t xml:space="preserve"> </w:t>
      </w:r>
      <w:proofErr w:type="spellStart"/>
      <w:r w:rsidR="00726FCC">
        <w:t>Niklas</w:t>
      </w:r>
      <w:proofErr w:type="spellEnd"/>
      <w:r w:rsidR="00726FCC">
        <w:t>, 2001</w:t>
      </w:r>
      <w:r w:rsidRPr="00712DB2">
        <w:t xml:space="preserve">; Xiao </w:t>
      </w:r>
      <w:r w:rsidRPr="00597380">
        <w:rPr>
          <w:i/>
        </w:rPr>
        <w:t>et al</w:t>
      </w:r>
      <w:r w:rsidRPr="00712DB2">
        <w:t>., 2015).</w:t>
      </w:r>
      <w:r w:rsidR="001F6B20">
        <w:t xml:space="preserve"> </w:t>
      </w:r>
      <w:r w:rsidRPr="00712DB2">
        <w:t xml:space="preserve">We recognize that this substitution of basal area for metabolic rate introduces </w:t>
      </w:r>
      <w:r w:rsidR="0008192A">
        <w:t xml:space="preserve">some amount of </w:t>
      </w:r>
      <w:r w:rsidRPr="00712DB2">
        <w:t xml:space="preserve">error because there is evidence for size dependent deviations from the ¾-power metabolic scaling rule and the tree </w:t>
      </w:r>
      <w:proofErr w:type="spellStart"/>
      <w:r w:rsidRPr="00712DB2">
        <w:t>allometry</w:t>
      </w:r>
      <w:proofErr w:type="spellEnd"/>
      <w:r w:rsidRPr="00712DB2">
        <w:t xml:space="preserve"> that link basal area to metabolism</w:t>
      </w:r>
      <w:r w:rsidR="00594385">
        <w:t xml:space="preserve"> (</w:t>
      </w:r>
      <w:r w:rsidR="00726FCC" w:rsidRPr="00712DB2">
        <w:t xml:space="preserve">Muller-Landau </w:t>
      </w:r>
      <w:r w:rsidR="00726FCC" w:rsidRPr="00597380">
        <w:rPr>
          <w:i/>
        </w:rPr>
        <w:t>et al</w:t>
      </w:r>
      <w:r w:rsidR="00726FCC" w:rsidRPr="00712DB2">
        <w:t>., 2006</w:t>
      </w:r>
      <w:r w:rsidR="006C19F4">
        <w:t xml:space="preserve">, Mori </w:t>
      </w:r>
      <w:r w:rsidR="006C19F4" w:rsidRPr="00597380">
        <w:rPr>
          <w:i/>
        </w:rPr>
        <w:t>et al</w:t>
      </w:r>
      <w:r w:rsidR="006C19F4">
        <w:t>.</w:t>
      </w:r>
      <w:r w:rsidR="00D81D27">
        <w:t>,</w:t>
      </w:r>
      <w:r w:rsidR="006C19F4">
        <w:t xml:space="preserve"> 2010</w:t>
      </w:r>
      <w:r w:rsidR="00594385">
        <w:t>)</w:t>
      </w:r>
      <w:r w:rsidRPr="00712DB2">
        <w:t xml:space="preserve">. </w:t>
      </w:r>
      <w:r w:rsidR="000839A1">
        <w:t>However, using an alternate estimate of metabolic scaling for plants (</w:t>
      </w:r>
      <w:r w:rsidR="006C19F4">
        <w:t xml:space="preserve">Mori </w:t>
      </w:r>
      <w:r w:rsidR="006C19F4" w:rsidRPr="00C2085A">
        <w:rPr>
          <w:i/>
        </w:rPr>
        <w:t>et al</w:t>
      </w:r>
      <w:r w:rsidR="006C19F4">
        <w:t>. 2010</w:t>
      </w:r>
      <w:r w:rsidR="000839A1">
        <w:t>) does not substantially change the fit of METE to BCI trees across size classes.</w:t>
      </w:r>
    </w:p>
    <w:p w14:paraId="2BB59593" w14:textId="77777777" w:rsidR="009D47B4" w:rsidRPr="00712DB2" w:rsidRDefault="009D47B4" w:rsidP="003A59AD">
      <w:pPr>
        <w:spacing w:line="480" w:lineRule="auto"/>
        <w:ind w:firstLine="720"/>
      </w:pPr>
      <w:r w:rsidRPr="00712DB2">
        <w:t>The METE prediction</w:t>
      </w:r>
      <w:r w:rsidR="00A572C6">
        <w:t xml:space="preserve"> </w:t>
      </w:r>
      <w:r w:rsidRPr="00712DB2">
        <w:t xml:space="preserve">for the distribution of metabolic rates </w:t>
      </w:r>
      <w:r w:rsidRPr="00712DB2">
        <w:rPr>
          <w:i/>
        </w:rPr>
        <w:sym w:font="Symbol" w:char="F065"/>
      </w:r>
      <w:r w:rsidRPr="00712DB2">
        <w:t xml:space="preserve">, across all individual organisms of a focal </w:t>
      </w:r>
      <w:r w:rsidR="004B5712">
        <w:t>group</w:t>
      </w:r>
      <w:r w:rsidRPr="00712DB2">
        <w:t xml:space="preserve"> in a well-defined area is (Harte </w:t>
      </w:r>
      <w:r w:rsidRPr="00597380">
        <w:rPr>
          <w:i/>
        </w:rPr>
        <w:t>et al</w:t>
      </w:r>
      <w:r w:rsidRPr="00712DB2">
        <w:t>., 2008):</w:t>
      </w:r>
    </w:p>
    <w:p w14:paraId="7037FE31" w14:textId="77777777" w:rsidR="009D47B4" w:rsidRPr="00712DB2" w:rsidRDefault="009D47B4" w:rsidP="00712DB2">
      <w:pPr>
        <w:spacing w:line="480" w:lineRule="auto"/>
        <w:jc w:val="right"/>
      </w:pPr>
      <w:r w:rsidRPr="00712DB2">
        <w:rPr>
          <w:noProof/>
          <w:position w:val="-24"/>
        </w:rPr>
        <w:drawing>
          <wp:inline distT="0" distB="0" distL="0" distR="0" wp14:anchorId="48E97243" wp14:editId="3ED15898">
            <wp:extent cx="1574165" cy="46164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165" cy="461645"/>
                    </a:xfrm>
                    <a:prstGeom prst="rect">
                      <a:avLst/>
                    </a:prstGeom>
                    <a:noFill/>
                    <a:ln>
                      <a:noFill/>
                    </a:ln>
                  </pic:spPr>
                </pic:pic>
              </a:graphicData>
            </a:graphic>
          </wp:inline>
        </w:drawing>
      </w:r>
      <w:r w:rsidRPr="00712DB2">
        <w:tab/>
      </w:r>
      <w:r w:rsidRPr="00712DB2">
        <w:tab/>
      </w:r>
      <w:r w:rsidRPr="00712DB2">
        <w:tab/>
      </w:r>
      <w:r w:rsidRPr="00712DB2">
        <w:tab/>
      </w:r>
      <w:r w:rsidRPr="00712DB2">
        <w:tab/>
        <w:t>(1)</w:t>
      </w:r>
    </w:p>
    <w:p w14:paraId="2F1F9D2E" w14:textId="650E45BB" w:rsidR="009D47B4" w:rsidRPr="00712DB2" w:rsidRDefault="009D47B4" w:rsidP="00465633">
      <w:pPr>
        <w:spacing w:line="480" w:lineRule="auto"/>
        <w:ind w:firstLine="720"/>
      </w:pPr>
      <w:r w:rsidRPr="00712DB2">
        <w:t xml:space="preserve">Here, </w:t>
      </w:r>
      <w:r w:rsidRPr="00712DB2">
        <w:rPr>
          <w:i/>
        </w:rPr>
        <w:sym w:font="Symbol" w:char="F062"/>
      </w:r>
      <w:r w:rsidRPr="00712DB2">
        <w:rPr>
          <w:i/>
        </w:rPr>
        <w:t xml:space="preserve"> </w:t>
      </w:r>
      <w:r w:rsidRPr="00712DB2">
        <w:t xml:space="preserve">= </w:t>
      </w:r>
      <w:r w:rsidRPr="00712DB2">
        <w:rPr>
          <w:i/>
        </w:rPr>
        <w:sym w:font="Symbol" w:char="F06C"/>
      </w:r>
      <w:r w:rsidRPr="00712DB2">
        <w:rPr>
          <w:vertAlign w:val="subscript"/>
        </w:rPr>
        <w:t>1</w:t>
      </w:r>
      <w:r w:rsidRPr="00712DB2">
        <w:t xml:space="preserve"> +</w:t>
      </w:r>
      <w:r w:rsidRPr="00712DB2">
        <w:rPr>
          <w:i/>
        </w:rPr>
        <w:t xml:space="preserve"> </w:t>
      </w:r>
      <w:r w:rsidRPr="00712DB2">
        <w:rPr>
          <w:i/>
        </w:rPr>
        <w:sym w:font="Symbol" w:char="F06C"/>
      </w:r>
      <w:r w:rsidRPr="00712DB2">
        <w:rPr>
          <w:vertAlign w:val="subscript"/>
        </w:rPr>
        <w:t>2</w:t>
      </w:r>
      <w:r w:rsidRPr="00712DB2">
        <w:t xml:space="preserve">, </w:t>
      </w:r>
      <w:r w:rsidRPr="00712DB2">
        <w:rPr>
          <w:i/>
        </w:rPr>
        <w:sym w:font="Symbol" w:char="F067"/>
      </w:r>
      <w:r w:rsidRPr="00712DB2">
        <w:t>(</w:t>
      </w:r>
      <w:r w:rsidRPr="00712DB2">
        <w:rPr>
          <w:i/>
        </w:rPr>
        <w:sym w:font="Symbol" w:char="F065"/>
      </w:r>
      <w:r w:rsidRPr="00712DB2">
        <w:t>)</w:t>
      </w:r>
      <w:r w:rsidRPr="00712DB2">
        <w:rPr>
          <w:i/>
        </w:rPr>
        <w:t xml:space="preserve"> </w:t>
      </w:r>
      <w:r w:rsidRPr="00712DB2">
        <w:t xml:space="preserve">= </w:t>
      </w:r>
      <w:r w:rsidRPr="00712DB2">
        <w:rPr>
          <w:i/>
        </w:rPr>
        <w:sym w:font="Symbol" w:char="F06C"/>
      </w:r>
      <w:r w:rsidRPr="00712DB2">
        <w:rPr>
          <w:szCs w:val="22"/>
          <w:vertAlign w:val="subscript"/>
        </w:rPr>
        <w:t>1</w:t>
      </w:r>
      <w:r w:rsidRPr="00712DB2">
        <w:t xml:space="preserve"> +</w:t>
      </w:r>
      <w:r w:rsidRPr="00712DB2">
        <w:rPr>
          <w:i/>
        </w:rPr>
        <w:t xml:space="preserve"> </w:t>
      </w:r>
      <w:r w:rsidRPr="00712DB2">
        <w:rPr>
          <w:i/>
        </w:rPr>
        <w:sym w:font="Symbol" w:char="F06C"/>
      </w:r>
      <w:r w:rsidRPr="00712DB2">
        <w:rPr>
          <w:szCs w:val="22"/>
          <w:vertAlign w:val="subscript"/>
        </w:rPr>
        <w:t>2</w:t>
      </w:r>
      <w:r w:rsidRPr="00712DB2">
        <w:rPr>
          <w:i/>
        </w:rPr>
        <w:sym w:font="Symbol" w:char="F065"/>
      </w:r>
      <w:r w:rsidRPr="00712DB2">
        <w:t>,</w:t>
      </w:r>
      <w:r w:rsidRPr="00712DB2">
        <w:rPr>
          <w:vertAlign w:val="subscript"/>
        </w:rPr>
        <w:t xml:space="preserve"> </w:t>
      </w:r>
      <w:r w:rsidRPr="00712DB2">
        <w:t xml:space="preserve">and </w:t>
      </w:r>
      <w:r w:rsidRPr="00712DB2">
        <w:rPr>
          <w:i/>
        </w:rPr>
        <w:sym w:font="Symbol" w:char="F06C"/>
      </w:r>
      <w:r w:rsidRPr="00712DB2">
        <w:rPr>
          <w:szCs w:val="22"/>
          <w:vertAlign w:val="subscript"/>
        </w:rPr>
        <w:t>1</w:t>
      </w:r>
      <w:r w:rsidRPr="00712DB2">
        <w:t xml:space="preserve"> and </w:t>
      </w:r>
      <w:r w:rsidRPr="00712DB2">
        <w:rPr>
          <w:i/>
        </w:rPr>
        <w:sym w:font="Symbol" w:char="F06C"/>
      </w:r>
      <w:r w:rsidRPr="00712DB2">
        <w:rPr>
          <w:szCs w:val="22"/>
          <w:vertAlign w:val="subscript"/>
        </w:rPr>
        <w:t>2</w:t>
      </w:r>
      <w:r w:rsidRPr="00712DB2">
        <w:t xml:space="preserve"> are Lagrange multipliers that are uniquely determined from the </w:t>
      </w:r>
      <w:r w:rsidR="00A572C6">
        <w:t xml:space="preserve">measured </w:t>
      </w:r>
      <w:r w:rsidRPr="00712DB2">
        <w:t>values of the state variables</w:t>
      </w:r>
      <w:r w:rsidR="003255E5">
        <w:t>.</w:t>
      </w:r>
      <w:r w:rsidR="00CE4BB7">
        <w:t xml:space="preserve"> </w:t>
      </w:r>
      <w:r w:rsidRPr="00712DB2">
        <w:t>For details of the calculations, see Harte (2011</w:t>
      </w:r>
      <w:r w:rsidR="00E16721">
        <w:t>, pp.143-148)</w:t>
      </w:r>
      <w:r w:rsidR="003255E5">
        <w:t xml:space="preserve"> and </w:t>
      </w:r>
      <w:r w:rsidR="00487276">
        <w:t xml:space="preserve">Appendix S1 in Supporting </w:t>
      </w:r>
      <w:r w:rsidR="00E16721">
        <w:t>Information</w:t>
      </w:r>
      <w:r w:rsidRPr="00712DB2">
        <w:t>.</w:t>
      </w:r>
      <w:r w:rsidR="001F6B20">
        <w:t xml:space="preserve"> </w:t>
      </w:r>
      <w:r w:rsidR="00465633">
        <w:t xml:space="preserve">Analyses were carried out using the </w:t>
      </w:r>
      <w:proofErr w:type="spellStart"/>
      <w:r w:rsidR="00465633">
        <w:t>meteR</w:t>
      </w:r>
      <w:proofErr w:type="spellEnd"/>
      <w:r w:rsidR="00465633">
        <w:t xml:space="preserve"> package (Rominger </w:t>
      </w:r>
      <w:r w:rsidR="00597380">
        <w:t>&amp;</w:t>
      </w:r>
      <w:r w:rsidR="00465633">
        <w:t xml:space="preserve"> </w:t>
      </w:r>
      <w:proofErr w:type="spellStart"/>
      <w:r w:rsidR="00465633">
        <w:t>Merow</w:t>
      </w:r>
      <w:proofErr w:type="spellEnd"/>
      <w:r w:rsidR="00465633">
        <w:t>, 2016) in R (R Core Team</w:t>
      </w:r>
      <w:r w:rsidR="00C2085A">
        <w:t>,</w:t>
      </w:r>
      <w:r w:rsidR="00465633">
        <w:t xml:space="preserve"> 201</w:t>
      </w:r>
      <w:r w:rsidR="003B7A18">
        <w:t>5</w:t>
      </w:r>
      <w:r w:rsidR="00465633">
        <w:t>).</w:t>
      </w:r>
      <w:r w:rsidR="00A832D9">
        <w:t xml:space="preserve"> Analysis code is available in Appendix S2.</w:t>
      </w:r>
      <w:bookmarkStart w:id="0" w:name="_GoBack"/>
      <w:bookmarkEnd w:id="0"/>
    </w:p>
    <w:p w14:paraId="6ADDBF75" w14:textId="77777777" w:rsidR="00D70D09" w:rsidRDefault="00A02C5F" w:rsidP="00465633">
      <w:pPr>
        <w:spacing w:line="480" w:lineRule="auto"/>
        <w:ind w:firstLine="720"/>
      </w:pPr>
      <w:r>
        <w:t>The</w:t>
      </w:r>
      <w:r w:rsidR="00221AEF">
        <w:t xml:space="preserve"> </w:t>
      </w:r>
      <w:r w:rsidR="00D70D09">
        <w:t xml:space="preserve">derived </w:t>
      </w:r>
      <w:r>
        <w:t xml:space="preserve">shape of </w:t>
      </w:r>
      <w:r w:rsidR="00221AEF">
        <w:t xml:space="preserve">the </w:t>
      </w:r>
      <w:r w:rsidR="00D70D09">
        <w:t xml:space="preserve">metabolic rate </w:t>
      </w:r>
      <w:r w:rsidR="00221AEF">
        <w:t xml:space="preserve">distribution in </w:t>
      </w:r>
      <w:r w:rsidR="000E35F3">
        <w:t>equation</w:t>
      </w:r>
      <w:r w:rsidR="00D70D09">
        <w:t xml:space="preserve"> </w:t>
      </w:r>
      <w:r w:rsidR="000E35F3">
        <w:t>(</w:t>
      </w:r>
      <w:r w:rsidR="00D70D09">
        <w:t>1</w:t>
      </w:r>
      <w:r w:rsidR="000E35F3">
        <w:t>)</w:t>
      </w:r>
      <w:r w:rsidR="00D70D09">
        <w:t xml:space="preserve"> is not a commonly encountered function in ecology and a convincing intuitive explanation for its shape </w:t>
      </w:r>
      <w:r w:rsidR="00B237A9">
        <w:t>may</w:t>
      </w:r>
      <w:r w:rsidR="00D70D09">
        <w:t xml:space="preserve"> not </w:t>
      </w:r>
      <w:r w:rsidR="00B237A9">
        <w:t>be immediately apparent</w:t>
      </w:r>
      <w:r w:rsidR="00D70D09">
        <w:t>. When a distribution is constrained only by its mean value, an exponential distribution results from information entropy maximization</w:t>
      </w:r>
      <w:r w:rsidR="00B237A9">
        <w:t xml:space="preserve"> in the Shannon entropy formulation.</w:t>
      </w:r>
      <w:r w:rsidR="00D70D09">
        <w:t xml:space="preserve"> </w:t>
      </w:r>
      <w:r w:rsidR="00B237A9">
        <w:t>T</w:t>
      </w:r>
      <w:r w:rsidR="00D70D09">
        <w:t xml:space="preserve">he constraints in METE are more complex; not only is metabolism allocated to individuals under the constraint of a specified average metabolic rate per individual, but </w:t>
      </w:r>
      <w:r w:rsidR="00B237A9">
        <w:t>individuals</w:t>
      </w:r>
      <w:r w:rsidR="00D70D09">
        <w:t xml:space="preserve"> are </w:t>
      </w:r>
      <w:r w:rsidR="00B237A9">
        <w:t xml:space="preserve">also </w:t>
      </w:r>
      <w:r w:rsidR="00D70D09">
        <w:t xml:space="preserve">allocated to species under the constraint of a specified average abundance per species. As shown in </w:t>
      </w:r>
      <w:r w:rsidR="00565CDA">
        <w:t>Appendix S1</w:t>
      </w:r>
      <w:r w:rsidR="00D70D09">
        <w:t xml:space="preserve">, the combination of these two constraints yields the more complex function in </w:t>
      </w:r>
      <w:r w:rsidR="00B237A9">
        <w:t>equation</w:t>
      </w:r>
      <w:r w:rsidR="00D70D09">
        <w:t xml:space="preserve"> </w:t>
      </w:r>
      <w:r w:rsidR="00B237A9">
        <w:t>(</w:t>
      </w:r>
      <w:r w:rsidR="00D70D09">
        <w:t>1</w:t>
      </w:r>
      <w:r w:rsidR="00B237A9">
        <w:t>)</w:t>
      </w:r>
      <w:r w:rsidR="00D70D09">
        <w:t>.</w:t>
      </w:r>
      <w:r w:rsidR="00CC24BD">
        <w:t xml:space="preserve"> </w:t>
      </w:r>
      <w:r w:rsidR="00B237A9">
        <w:t xml:space="preserve">The mathematical relationship produced is </w:t>
      </w:r>
      <w:r w:rsidR="00D70D09">
        <w:t xml:space="preserve">neither a power law nor an exponential, but as we explain next, it approximates those two functional forms over two separate domains of the metabolic rate, </w:t>
      </w:r>
      <w:r w:rsidR="00D70D09" w:rsidRPr="00712DB2">
        <w:rPr>
          <w:i/>
        </w:rPr>
        <w:sym w:font="Symbol" w:char="F065"/>
      </w:r>
      <w:r w:rsidR="00CC24BD">
        <w:t>.</w:t>
      </w:r>
    </w:p>
    <w:p w14:paraId="5806CBDC" w14:textId="77777777" w:rsidR="009D47B4" w:rsidRPr="00712DB2" w:rsidRDefault="00D70D09" w:rsidP="00465633">
      <w:pPr>
        <w:spacing w:line="480" w:lineRule="auto"/>
        <w:ind w:firstLine="720"/>
      </w:pPr>
      <w:r>
        <w:t xml:space="preserve">The </w:t>
      </w:r>
      <w:r w:rsidR="00A02C5F">
        <w:t xml:space="preserve">shape of </w:t>
      </w:r>
      <w:r w:rsidR="00221AEF">
        <w:t xml:space="preserve">the distribution in </w:t>
      </w:r>
      <w:r w:rsidR="00565CDA">
        <w:t>equation</w:t>
      </w:r>
      <w:r w:rsidR="00221AEF">
        <w:t xml:space="preserve"> </w:t>
      </w:r>
      <w:r w:rsidR="00565CDA">
        <w:t>(</w:t>
      </w:r>
      <w:r w:rsidR="00221AEF">
        <w:t>1</w:t>
      </w:r>
      <w:r w:rsidR="00565CDA">
        <w:t>)</w:t>
      </w:r>
      <w:r w:rsidR="00221AEF">
        <w:t xml:space="preserve"> i</w:t>
      </w:r>
      <w:r w:rsidR="00A02C5F">
        <w:t xml:space="preserve">s determined by the </w:t>
      </w:r>
      <w:r w:rsidR="00221AEF">
        <w:t>values of the Lagrange multipliers.</w:t>
      </w:r>
      <w:r w:rsidR="009A6759">
        <w:t xml:space="preserve"> </w:t>
      </w:r>
      <w:r w:rsidR="00221AEF">
        <w:t>T</w:t>
      </w:r>
      <w:r w:rsidR="009D47B4" w:rsidRPr="00712DB2">
        <w:t xml:space="preserve">he value of </w:t>
      </w:r>
      <w:r w:rsidR="009D47B4" w:rsidRPr="00712DB2">
        <w:rPr>
          <w:i/>
        </w:rPr>
        <w:sym w:font="Symbol" w:char="F06C"/>
      </w:r>
      <w:r w:rsidR="009D47B4" w:rsidRPr="00712DB2">
        <w:rPr>
          <w:szCs w:val="22"/>
          <w:vertAlign w:val="subscript"/>
        </w:rPr>
        <w:t>1</w:t>
      </w:r>
      <w:r w:rsidR="009D47B4" w:rsidRPr="00712DB2">
        <w:rPr>
          <w:szCs w:val="22"/>
        </w:rPr>
        <w:t xml:space="preserve"> is on the order of (</w:t>
      </w:r>
      <w:r w:rsidR="009D47B4" w:rsidRPr="00712DB2">
        <w:rPr>
          <w:i/>
          <w:szCs w:val="22"/>
        </w:rPr>
        <w:t>S</w:t>
      </w:r>
      <w:r w:rsidR="009D47B4" w:rsidRPr="00712DB2">
        <w:rPr>
          <w:szCs w:val="22"/>
          <w:vertAlign w:val="subscript"/>
        </w:rPr>
        <w:t>0</w:t>
      </w:r>
      <w:r w:rsidR="009D47B4" w:rsidRPr="00712DB2">
        <w:rPr>
          <w:szCs w:val="22"/>
        </w:rPr>
        <w:t>/</w:t>
      </w:r>
      <w:r w:rsidR="009D47B4" w:rsidRPr="00712DB2">
        <w:rPr>
          <w:i/>
          <w:szCs w:val="22"/>
        </w:rPr>
        <w:t>N</w:t>
      </w:r>
      <w:r w:rsidR="009D47B4" w:rsidRPr="00712DB2">
        <w:rPr>
          <w:szCs w:val="22"/>
          <w:vertAlign w:val="subscript"/>
        </w:rPr>
        <w:t>0</w:t>
      </w:r>
      <w:r w:rsidR="009D47B4" w:rsidRPr="00712DB2">
        <w:rPr>
          <w:szCs w:val="22"/>
        </w:rPr>
        <w:t>)/</w:t>
      </w:r>
      <w:proofErr w:type="spellStart"/>
      <w:proofErr w:type="gramStart"/>
      <w:r w:rsidR="009D47B4" w:rsidRPr="00712DB2">
        <w:rPr>
          <w:szCs w:val="22"/>
        </w:rPr>
        <w:t>ln</w:t>
      </w:r>
      <w:proofErr w:type="spellEnd"/>
      <w:r w:rsidR="009D47B4" w:rsidRPr="00712DB2">
        <w:rPr>
          <w:szCs w:val="22"/>
        </w:rPr>
        <w:t>(</w:t>
      </w:r>
      <w:proofErr w:type="gramEnd"/>
      <w:r w:rsidR="009D47B4" w:rsidRPr="00712DB2">
        <w:rPr>
          <w:i/>
          <w:szCs w:val="22"/>
        </w:rPr>
        <w:t>N</w:t>
      </w:r>
      <w:r w:rsidR="009D47B4" w:rsidRPr="00712DB2">
        <w:rPr>
          <w:szCs w:val="22"/>
          <w:vertAlign w:val="subscript"/>
        </w:rPr>
        <w:t>0</w:t>
      </w:r>
      <w:r w:rsidR="009D47B4" w:rsidRPr="00712DB2">
        <w:rPr>
          <w:szCs w:val="22"/>
        </w:rPr>
        <w:t>/</w:t>
      </w:r>
      <w:r w:rsidR="009D47B4" w:rsidRPr="00712DB2">
        <w:rPr>
          <w:i/>
          <w:szCs w:val="22"/>
        </w:rPr>
        <w:t>S</w:t>
      </w:r>
      <w:r w:rsidR="009D47B4" w:rsidRPr="00712DB2">
        <w:rPr>
          <w:szCs w:val="22"/>
          <w:vertAlign w:val="subscript"/>
        </w:rPr>
        <w:t>0</w:t>
      </w:r>
      <w:r w:rsidR="009D47B4" w:rsidRPr="00712DB2">
        <w:rPr>
          <w:szCs w:val="22"/>
        </w:rPr>
        <w:t xml:space="preserve">) &lt;&lt; 1 and the value of </w:t>
      </w:r>
      <w:r w:rsidR="009D47B4" w:rsidRPr="00712DB2">
        <w:rPr>
          <w:i/>
        </w:rPr>
        <w:sym w:font="Symbol" w:char="F06C"/>
      </w:r>
      <w:r w:rsidR="009D47B4" w:rsidRPr="00712DB2">
        <w:rPr>
          <w:szCs w:val="22"/>
          <w:vertAlign w:val="subscript"/>
        </w:rPr>
        <w:t xml:space="preserve">2 </w:t>
      </w:r>
      <w:r w:rsidR="009D47B4" w:rsidRPr="00712DB2">
        <w:rPr>
          <w:szCs w:val="22"/>
        </w:rPr>
        <w:t xml:space="preserve">is on the order of </w:t>
      </w:r>
      <w:r w:rsidR="009D47B4" w:rsidRPr="00712DB2">
        <w:rPr>
          <w:i/>
          <w:szCs w:val="22"/>
        </w:rPr>
        <w:t>S</w:t>
      </w:r>
      <w:r w:rsidR="009D47B4" w:rsidRPr="00712DB2">
        <w:rPr>
          <w:szCs w:val="22"/>
          <w:vertAlign w:val="subscript"/>
        </w:rPr>
        <w:t>0</w:t>
      </w:r>
      <w:r w:rsidR="009D47B4" w:rsidRPr="00712DB2">
        <w:rPr>
          <w:szCs w:val="22"/>
        </w:rPr>
        <w:t>/</w:t>
      </w:r>
      <w:r w:rsidR="009D47B4" w:rsidRPr="00712DB2">
        <w:rPr>
          <w:i/>
          <w:szCs w:val="22"/>
        </w:rPr>
        <w:t>E</w:t>
      </w:r>
      <w:r w:rsidR="009D47B4" w:rsidRPr="00712DB2">
        <w:rPr>
          <w:szCs w:val="22"/>
          <w:vertAlign w:val="subscript"/>
        </w:rPr>
        <w:t>0</w:t>
      </w:r>
      <w:r w:rsidR="009D47B4" w:rsidRPr="00712DB2">
        <w:rPr>
          <w:szCs w:val="22"/>
        </w:rPr>
        <w:t xml:space="preserve"> &lt;&lt; </w:t>
      </w:r>
      <w:r w:rsidR="009D47B4" w:rsidRPr="00712DB2">
        <w:rPr>
          <w:i/>
        </w:rPr>
        <w:sym w:font="Symbol" w:char="F06C"/>
      </w:r>
      <w:r w:rsidR="009D47B4" w:rsidRPr="00712DB2">
        <w:rPr>
          <w:szCs w:val="22"/>
          <w:vertAlign w:val="subscript"/>
        </w:rPr>
        <w:t>1</w:t>
      </w:r>
      <w:r w:rsidR="009D47B4" w:rsidRPr="00712DB2">
        <w:rPr>
          <w:szCs w:val="22"/>
        </w:rPr>
        <w:t xml:space="preserve">. </w:t>
      </w:r>
      <w:r w:rsidR="009D47B4" w:rsidRPr="00712DB2">
        <w:t xml:space="preserve">For relatively small values of </w:t>
      </w:r>
      <w:r w:rsidR="009D47B4" w:rsidRPr="00712DB2">
        <w:rPr>
          <w:i/>
        </w:rPr>
        <w:sym w:font="Symbol" w:char="F065"/>
      </w:r>
      <w:r w:rsidR="009D47B4" w:rsidRPr="00712DB2">
        <w:t xml:space="preserve">, such that </w:t>
      </w:r>
      <w:r w:rsidR="009D47B4" w:rsidRPr="00712DB2">
        <w:rPr>
          <w:i/>
        </w:rPr>
        <w:sym w:font="Symbol" w:char="F06C"/>
      </w:r>
      <w:r w:rsidR="009D47B4" w:rsidRPr="00712DB2">
        <w:rPr>
          <w:szCs w:val="22"/>
          <w:vertAlign w:val="subscript"/>
        </w:rPr>
        <w:t>2</w:t>
      </w:r>
      <w:r w:rsidR="009D47B4" w:rsidRPr="00712DB2">
        <w:rPr>
          <w:i/>
        </w:rPr>
        <w:sym w:font="Symbol" w:char="F065"/>
      </w:r>
      <w:r w:rsidR="009D47B4" w:rsidRPr="00712DB2">
        <w:rPr>
          <w:i/>
        </w:rPr>
        <w:t xml:space="preserve"> </w:t>
      </w:r>
      <w:r w:rsidR="009D47B4" w:rsidRPr="00712DB2">
        <w:t xml:space="preserve">&lt;&lt; 1, the term </w:t>
      </w:r>
      <w:r w:rsidR="009D47B4" w:rsidRPr="00712DB2">
        <w:rPr>
          <w:noProof/>
          <w:position w:val="-2"/>
        </w:rPr>
        <w:drawing>
          <wp:inline distT="0" distB="0" distL="0" distR="0" wp14:anchorId="00409A69" wp14:editId="497063CB">
            <wp:extent cx="301625" cy="16954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25" cy="169545"/>
                    </a:xfrm>
                    <a:prstGeom prst="rect">
                      <a:avLst/>
                    </a:prstGeom>
                    <a:noFill/>
                    <a:ln>
                      <a:noFill/>
                    </a:ln>
                  </pic:spPr>
                </pic:pic>
              </a:graphicData>
            </a:graphic>
          </wp:inline>
        </w:drawing>
      </w:r>
      <w:r w:rsidR="009D47B4" w:rsidRPr="00712DB2">
        <w:t xml:space="preserve"> in the numerator in </w:t>
      </w:r>
      <w:r w:rsidR="00A02C5F">
        <w:t>equation</w:t>
      </w:r>
      <w:r w:rsidR="009D47B4" w:rsidRPr="00712DB2">
        <w:t xml:space="preserve"> </w:t>
      </w:r>
      <w:r w:rsidR="00A02C5F">
        <w:t>(</w:t>
      </w:r>
      <w:r w:rsidR="009D47B4" w:rsidRPr="00712DB2">
        <w:t>1</w:t>
      </w:r>
      <w:r w:rsidR="00A02C5F">
        <w:t>)</w:t>
      </w:r>
      <w:r w:rsidR="009D47B4" w:rsidRPr="00712DB2">
        <w:t xml:space="preserve"> is </w:t>
      </w:r>
      <w:r w:rsidR="009D47B4" w:rsidRPr="00712DB2">
        <w:sym w:font="Symbol" w:char="F0BB"/>
      </w:r>
      <w:r w:rsidR="009D47B4" w:rsidRPr="00712DB2">
        <w:t xml:space="preserve"> 1, and the denominator is (to leading order) </w:t>
      </w:r>
      <w:r w:rsidR="009D47B4" w:rsidRPr="00712DB2">
        <w:sym w:font="Symbol" w:char="F0BB"/>
      </w:r>
      <w:r w:rsidR="009D47B4" w:rsidRPr="00712DB2">
        <w:t xml:space="preserve"> </w:t>
      </w:r>
      <w:r w:rsidR="009D47B4" w:rsidRPr="00712DB2">
        <w:rPr>
          <w:i/>
        </w:rPr>
        <w:sym w:font="Symbol" w:char="F067"/>
      </w:r>
      <w:r w:rsidR="009D47B4" w:rsidRPr="00712DB2">
        <w:rPr>
          <w:vertAlign w:val="superscript"/>
        </w:rPr>
        <w:t>2</w:t>
      </w:r>
      <w:r w:rsidR="009D47B4" w:rsidRPr="00712DB2">
        <w:t>(</w:t>
      </w:r>
      <w:r w:rsidR="009D47B4" w:rsidRPr="00712DB2">
        <w:rPr>
          <w:i/>
        </w:rPr>
        <w:sym w:font="Symbol" w:char="F065"/>
      </w:r>
      <w:r w:rsidR="009D47B4" w:rsidRPr="00712DB2">
        <w:t xml:space="preserve">). If </w:t>
      </w:r>
      <w:r w:rsidR="009D47B4" w:rsidRPr="00712DB2">
        <w:rPr>
          <w:i/>
        </w:rPr>
        <w:sym w:font="Symbol" w:char="F065"/>
      </w:r>
      <w:r w:rsidR="009D47B4" w:rsidRPr="00712DB2">
        <w:rPr>
          <w:i/>
        </w:rPr>
        <w:t xml:space="preserve"> </w:t>
      </w:r>
      <w:r w:rsidR="009D47B4" w:rsidRPr="00712DB2">
        <w:t xml:space="preserve">is sufficiently small, this expression in the denominator is </w:t>
      </w:r>
      <w:r w:rsidR="009D47B4" w:rsidRPr="00712DB2">
        <w:sym w:font="Symbol" w:char="F0BB"/>
      </w:r>
      <w:r w:rsidR="009D47B4" w:rsidRPr="00712DB2">
        <w:t xml:space="preserve"> (</w:t>
      </w:r>
      <w:r w:rsidR="009D47B4" w:rsidRPr="00712DB2">
        <w:rPr>
          <w:i/>
        </w:rPr>
        <w:sym w:font="Symbol" w:char="F06C"/>
      </w:r>
      <w:proofErr w:type="gramStart"/>
      <w:r w:rsidR="009D47B4" w:rsidRPr="00712DB2">
        <w:rPr>
          <w:szCs w:val="22"/>
          <w:vertAlign w:val="subscript"/>
        </w:rPr>
        <w:t>1</w:t>
      </w:r>
      <w:r w:rsidR="009D47B4" w:rsidRPr="00712DB2">
        <w:t>)</w:t>
      </w:r>
      <w:r w:rsidR="009D47B4" w:rsidRPr="00712DB2">
        <w:rPr>
          <w:vertAlign w:val="superscript"/>
        </w:rPr>
        <w:t>2</w:t>
      </w:r>
      <w:proofErr w:type="gramEnd"/>
      <w:r w:rsidR="009D47B4" w:rsidRPr="00712DB2">
        <w:t xml:space="preserve">, while for values of </w:t>
      </w:r>
      <w:r w:rsidR="009D47B4" w:rsidRPr="00712DB2">
        <w:rPr>
          <w:i/>
        </w:rPr>
        <w:sym w:font="Symbol" w:char="F065"/>
      </w:r>
      <w:r w:rsidR="009D47B4" w:rsidRPr="00712DB2">
        <w:rPr>
          <w:i/>
        </w:rPr>
        <w:t xml:space="preserve"> </w:t>
      </w:r>
      <w:r w:rsidR="009D47B4" w:rsidRPr="00712DB2">
        <w:t xml:space="preserve">such that 1 &gt;&gt; </w:t>
      </w:r>
      <w:r w:rsidR="009D47B4" w:rsidRPr="00712DB2">
        <w:rPr>
          <w:i/>
        </w:rPr>
        <w:sym w:font="Symbol" w:char="F06C"/>
      </w:r>
      <w:r w:rsidR="009D47B4" w:rsidRPr="00712DB2">
        <w:rPr>
          <w:szCs w:val="22"/>
          <w:vertAlign w:val="subscript"/>
        </w:rPr>
        <w:t>2</w:t>
      </w:r>
      <w:r w:rsidR="009D47B4" w:rsidRPr="00712DB2">
        <w:rPr>
          <w:i/>
        </w:rPr>
        <w:sym w:font="Symbol" w:char="F065"/>
      </w:r>
      <w:r w:rsidR="009D47B4" w:rsidRPr="00712DB2">
        <w:rPr>
          <w:i/>
        </w:rPr>
        <w:t xml:space="preserve"> </w:t>
      </w:r>
      <w:r w:rsidR="009D47B4" w:rsidRPr="00712DB2">
        <w:t xml:space="preserve">&gt; </w:t>
      </w:r>
      <w:r w:rsidR="009D47B4" w:rsidRPr="00712DB2">
        <w:rPr>
          <w:i/>
        </w:rPr>
        <w:sym w:font="Symbol" w:char="F06C"/>
      </w:r>
      <w:r w:rsidR="009D47B4" w:rsidRPr="00712DB2">
        <w:rPr>
          <w:szCs w:val="22"/>
          <w:vertAlign w:val="subscript"/>
        </w:rPr>
        <w:t>1</w:t>
      </w:r>
      <w:r w:rsidR="009D47B4" w:rsidRPr="00712DB2">
        <w:rPr>
          <w:szCs w:val="22"/>
        </w:rPr>
        <w:t>,</w:t>
      </w:r>
      <w:r w:rsidR="009D47B4" w:rsidRPr="00712DB2">
        <w:rPr>
          <w:szCs w:val="22"/>
          <w:vertAlign w:val="subscript"/>
        </w:rPr>
        <w:t xml:space="preserve"> </w:t>
      </w:r>
      <w:r w:rsidR="009D47B4" w:rsidRPr="00712DB2">
        <w:t xml:space="preserve">it is </w:t>
      </w:r>
      <w:r w:rsidR="009D47B4" w:rsidRPr="00712DB2">
        <w:sym w:font="Symbol" w:char="F0BB"/>
      </w:r>
      <w:r w:rsidR="009D47B4" w:rsidRPr="00712DB2">
        <w:t xml:space="preserve"> (</w:t>
      </w:r>
      <w:r w:rsidR="009D47B4" w:rsidRPr="00712DB2">
        <w:rPr>
          <w:i/>
        </w:rPr>
        <w:sym w:font="Symbol" w:char="F06C"/>
      </w:r>
      <w:r w:rsidR="009D47B4" w:rsidRPr="00712DB2">
        <w:rPr>
          <w:szCs w:val="22"/>
          <w:vertAlign w:val="subscript"/>
        </w:rPr>
        <w:t>2</w:t>
      </w:r>
      <w:r w:rsidR="009D47B4" w:rsidRPr="00712DB2">
        <w:rPr>
          <w:i/>
        </w:rPr>
        <w:sym w:font="Symbol" w:char="F065"/>
      </w:r>
      <w:r w:rsidR="009D47B4" w:rsidRPr="00712DB2">
        <w:t>)</w:t>
      </w:r>
      <w:r w:rsidR="009D47B4" w:rsidRPr="00712DB2">
        <w:rPr>
          <w:vertAlign w:val="superscript"/>
        </w:rPr>
        <w:t>2</w:t>
      </w:r>
      <w:r w:rsidR="009D47B4" w:rsidRPr="00712DB2">
        <w:t xml:space="preserve">. Thus for very small values of </w:t>
      </w:r>
      <w:r w:rsidR="009D47B4" w:rsidRPr="00712DB2">
        <w:rPr>
          <w:i/>
        </w:rPr>
        <w:sym w:font="Symbol" w:char="F065"/>
      </w:r>
      <w:r w:rsidR="009D47B4" w:rsidRPr="00712DB2">
        <w:rPr>
          <w:i/>
        </w:rPr>
        <w:t xml:space="preserve">, </w:t>
      </w:r>
      <w:r w:rsidR="009D47B4" w:rsidRPr="00712DB2">
        <w:rPr>
          <w:i/>
        </w:rPr>
        <w:sym w:font="Symbol" w:char="F059"/>
      </w:r>
      <w:r w:rsidR="009D47B4" w:rsidRPr="00712DB2">
        <w:t>(</w:t>
      </w:r>
      <w:r w:rsidR="009D47B4" w:rsidRPr="00712DB2">
        <w:rPr>
          <w:i/>
        </w:rPr>
        <w:sym w:font="Symbol" w:char="F065"/>
      </w:r>
      <w:r w:rsidR="009D47B4" w:rsidRPr="00712DB2">
        <w:t xml:space="preserve">) is predicted to be constant and for intermediate values of </w:t>
      </w:r>
      <w:r w:rsidR="009D47B4" w:rsidRPr="00712DB2">
        <w:rPr>
          <w:i/>
        </w:rPr>
        <w:sym w:font="Symbol" w:char="F065"/>
      </w:r>
      <w:r w:rsidR="009D47B4" w:rsidRPr="00712DB2">
        <w:rPr>
          <w:i/>
        </w:rPr>
        <w:t xml:space="preserve"> </w:t>
      </w:r>
      <w:r w:rsidR="009D47B4" w:rsidRPr="00712DB2">
        <w:t xml:space="preserve">it is approximately power-law. For still larger values of </w:t>
      </w:r>
      <w:r w:rsidR="009D47B4" w:rsidRPr="00712DB2">
        <w:rPr>
          <w:i/>
        </w:rPr>
        <w:sym w:font="Symbol" w:char="F065"/>
      </w:r>
      <w:r w:rsidR="009D47B4" w:rsidRPr="00712DB2">
        <w:t xml:space="preserve">, such that </w:t>
      </w:r>
      <w:r w:rsidR="009D47B4" w:rsidRPr="00712DB2">
        <w:rPr>
          <w:i/>
        </w:rPr>
        <w:sym w:font="Symbol" w:char="F06C"/>
      </w:r>
      <w:r w:rsidR="009D47B4" w:rsidRPr="00712DB2">
        <w:rPr>
          <w:szCs w:val="22"/>
          <w:vertAlign w:val="subscript"/>
        </w:rPr>
        <w:t>2</w:t>
      </w:r>
      <w:r w:rsidR="009D47B4" w:rsidRPr="00712DB2">
        <w:rPr>
          <w:i/>
        </w:rPr>
        <w:sym w:font="Symbol" w:char="F065"/>
      </w:r>
      <w:r w:rsidR="009D47B4" w:rsidRPr="00712DB2">
        <w:rPr>
          <w:i/>
        </w:rPr>
        <w:t xml:space="preserve"> </w:t>
      </w:r>
      <w:r w:rsidR="009D47B4" w:rsidRPr="00712DB2">
        <w:t xml:space="preserve">&gt; 1, the exponential term in the numerator becomes influential and the denominator is </w:t>
      </w:r>
      <w:r w:rsidR="009D47B4" w:rsidRPr="00712DB2">
        <w:sym w:font="Symbol" w:char="F0BB"/>
      </w:r>
      <w:r w:rsidR="009D47B4" w:rsidRPr="00712DB2">
        <w:t xml:space="preserve"> 1, resulting in:</w:t>
      </w:r>
    </w:p>
    <w:p w14:paraId="17C7A78B" w14:textId="77777777" w:rsidR="009D47B4" w:rsidRPr="00712DB2" w:rsidRDefault="009D47B4" w:rsidP="00712DB2">
      <w:pPr>
        <w:spacing w:line="480" w:lineRule="auto"/>
        <w:ind w:left="2880" w:firstLine="720"/>
      </w:pPr>
      <w:r w:rsidRPr="00712DB2">
        <w:rPr>
          <w:noProof/>
          <w:position w:val="-8"/>
        </w:rPr>
        <w:drawing>
          <wp:inline distT="0" distB="0" distL="0" distR="0" wp14:anchorId="77B13EAE" wp14:editId="65BEA2ED">
            <wp:extent cx="1036955" cy="20764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6955" cy="207645"/>
                    </a:xfrm>
                    <a:prstGeom prst="rect">
                      <a:avLst/>
                    </a:prstGeom>
                    <a:noFill/>
                    <a:ln>
                      <a:noFill/>
                    </a:ln>
                  </pic:spPr>
                </pic:pic>
              </a:graphicData>
            </a:graphic>
          </wp:inline>
        </w:drawing>
      </w:r>
      <w:r w:rsidRPr="00712DB2">
        <w:tab/>
      </w:r>
      <w:r w:rsidRPr="00712DB2">
        <w:tab/>
      </w:r>
      <w:r w:rsidRPr="00712DB2">
        <w:tab/>
      </w:r>
      <w:r w:rsidRPr="00712DB2">
        <w:tab/>
      </w:r>
      <w:r w:rsidRPr="00712DB2">
        <w:tab/>
        <w:t>(2)</w:t>
      </w:r>
    </w:p>
    <w:p w14:paraId="61733332" w14:textId="77777777" w:rsidR="009D47B4" w:rsidRPr="00712DB2" w:rsidRDefault="009D47B4" w:rsidP="00712DB2">
      <w:pPr>
        <w:spacing w:line="480" w:lineRule="auto"/>
      </w:pPr>
    </w:p>
    <w:p w14:paraId="1B7FEBBE" w14:textId="77777777" w:rsidR="00D70D09" w:rsidRPr="00833DEA" w:rsidRDefault="00D70D09" w:rsidP="00465633">
      <w:pPr>
        <w:spacing w:line="480" w:lineRule="auto"/>
        <w:ind w:firstLine="720"/>
      </w:pPr>
      <w:r>
        <w:t>We emphasize that the power</w:t>
      </w:r>
      <w:r w:rsidR="00B237A9">
        <w:t>-</w:t>
      </w:r>
      <w:r>
        <w:t xml:space="preserve">law behavior predicted for intermediate values of </w:t>
      </w:r>
      <w:r w:rsidRPr="00712DB2">
        <w:rPr>
          <w:i/>
        </w:rPr>
        <w:sym w:font="Symbol" w:char="F065"/>
      </w:r>
      <w:r>
        <w:t xml:space="preserve">, and the exponential behavior predicted at large </w:t>
      </w:r>
      <w:r w:rsidRPr="00712DB2">
        <w:rPr>
          <w:i/>
        </w:rPr>
        <w:sym w:font="Symbol" w:char="F065"/>
      </w:r>
      <w:r>
        <w:t>,</w:t>
      </w:r>
      <w:r>
        <w:rPr>
          <w:i/>
        </w:rPr>
        <w:t xml:space="preserve"> </w:t>
      </w:r>
      <w:r w:rsidR="00CC24BD">
        <w:t xml:space="preserve">are only approximate. </w:t>
      </w:r>
      <w:proofErr w:type="spellStart"/>
      <w:r>
        <w:t>MaxEnt</w:t>
      </w:r>
      <w:proofErr w:type="spellEnd"/>
      <w:r>
        <w:t xml:space="preserve"> predicts exact power law behavior when the distribution is constrained just by the mean value of the logarithm of the independent variable, and exact exponential behavior when just the mean, itself, is constrained.</w:t>
      </w:r>
      <w:r w:rsidR="00CC24BD">
        <w:t xml:space="preserve"> </w:t>
      </w:r>
      <w:r>
        <w:t>Neither is the case in METE.</w:t>
      </w:r>
      <w:r w:rsidR="00CC24BD">
        <w:t xml:space="preserve"> </w:t>
      </w:r>
    </w:p>
    <w:p w14:paraId="1583A50D" w14:textId="77777777" w:rsidR="009D47B4" w:rsidRPr="00712DB2" w:rsidRDefault="006F1A27" w:rsidP="00465633">
      <w:pPr>
        <w:spacing w:line="480" w:lineRule="auto"/>
        <w:ind w:firstLine="720"/>
      </w:pPr>
      <w:r>
        <w:t>Fig.</w:t>
      </w:r>
      <w:r w:rsidR="00AF09E3">
        <w:t xml:space="preserve"> 1 shows METE’s predicted distribution of metabolic rates </w:t>
      </w:r>
      <w:r w:rsidR="00233D02">
        <w:t>(</w:t>
      </w:r>
      <w:r w:rsidR="00D34C3C">
        <w:t>equation</w:t>
      </w:r>
      <w:r w:rsidR="00233D02">
        <w:t xml:space="preserve"> </w:t>
      </w:r>
      <w:r w:rsidR="00D34C3C">
        <w:t>(</w:t>
      </w:r>
      <w:r w:rsidR="00233D02">
        <w:t>1</w:t>
      </w:r>
      <w:r w:rsidR="00D34C3C">
        <w:t>)</w:t>
      </w:r>
      <w:r w:rsidR="00233D02">
        <w:t xml:space="preserve">) </w:t>
      </w:r>
      <w:r w:rsidR="00AF09E3">
        <w:t>u</w:t>
      </w:r>
      <w:r w:rsidR="00AF09E3" w:rsidRPr="00712DB2">
        <w:t xml:space="preserve">sing </w:t>
      </w:r>
      <w:r w:rsidR="009D47B4" w:rsidRPr="00712DB2">
        <w:t>the numerical values of the state variables for the BCI plot</w:t>
      </w:r>
      <w:r w:rsidR="00AF09E3">
        <w:t xml:space="preserve"> (1995 census; Hubbell </w:t>
      </w:r>
      <w:r w:rsidR="00AF09E3" w:rsidRPr="008834F3">
        <w:rPr>
          <w:i/>
        </w:rPr>
        <w:t>et al</w:t>
      </w:r>
      <w:r w:rsidR="00AF09E3">
        <w:t>.</w:t>
      </w:r>
      <w:r w:rsidR="008834F3">
        <w:t>,</w:t>
      </w:r>
      <w:r w:rsidR="00AF09E3">
        <w:t xml:space="preserve"> 2005).</w:t>
      </w:r>
      <w:r w:rsidR="009D47B4" w:rsidRPr="00712DB2">
        <w:t xml:space="preserve"> </w:t>
      </w:r>
      <w:r w:rsidR="00AF09E3">
        <w:t>T</w:t>
      </w:r>
      <w:r w:rsidR="009D47B4" w:rsidRPr="00712DB2">
        <w:t xml:space="preserve">he domain in </w:t>
      </w:r>
      <w:r w:rsidR="009D47B4" w:rsidRPr="00712DB2">
        <w:rPr>
          <w:i/>
        </w:rPr>
        <w:sym w:font="Symbol" w:char="F065"/>
      </w:r>
      <w:r w:rsidR="009D47B4" w:rsidRPr="00712DB2">
        <w:t xml:space="preserve"> over which approximate power</w:t>
      </w:r>
      <w:r w:rsidR="008E217A">
        <w:t>-</w:t>
      </w:r>
      <w:r w:rsidR="009D47B4" w:rsidRPr="00712DB2">
        <w:t xml:space="preserve">law behavior is predicted is </w:t>
      </w:r>
      <w:r w:rsidR="0014184A">
        <w:t>10</w:t>
      </w:r>
      <w:r w:rsidR="009D47B4" w:rsidRPr="00712DB2">
        <w:t xml:space="preserve"> &lt; </w:t>
      </w:r>
      <w:r w:rsidR="009D47B4" w:rsidRPr="00712DB2">
        <w:rPr>
          <w:i/>
        </w:rPr>
        <w:sym w:font="Symbol" w:char="F065"/>
      </w:r>
      <w:r w:rsidR="009D47B4" w:rsidRPr="00712DB2">
        <w:t xml:space="preserve"> &lt; 1</w:t>
      </w:r>
      <w:r w:rsidR="0014184A">
        <w:t>00</w:t>
      </w:r>
      <w:r w:rsidR="009D47B4" w:rsidRPr="00712DB2">
        <w:t>00</w:t>
      </w:r>
      <w:r w:rsidR="008E217A">
        <w:t>,</w:t>
      </w:r>
      <w:r w:rsidR="009D47B4" w:rsidRPr="00712DB2">
        <w:t xml:space="preserve"> in normalized units such that the smallest </w:t>
      </w:r>
      <w:r w:rsidR="003255E5">
        <w:t>individual in the dataset</w:t>
      </w:r>
      <w:r w:rsidR="009D47B4" w:rsidRPr="00712DB2">
        <w:t xml:space="preserve"> is defined as having </w:t>
      </w:r>
      <w:r w:rsidR="009D47B4" w:rsidRPr="00712DB2">
        <w:rPr>
          <w:i/>
        </w:rPr>
        <w:sym w:font="Symbol" w:char="F065"/>
      </w:r>
      <w:r w:rsidR="009D47B4" w:rsidRPr="00712DB2">
        <w:t xml:space="preserve"> = 1. </w:t>
      </w:r>
      <w:r w:rsidR="003255E5">
        <w:t>For BCI data, the smallest individual corresponds to a stem diameter of 1 cm.</w:t>
      </w:r>
      <w:r w:rsidR="003255E5" w:rsidRPr="00712DB2">
        <w:t xml:space="preserve"> </w:t>
      </w:r>
      <w:r w:rsidR="009D47B4" w:rsidRPr="00712DB2">
        <w:t>Th</w:t>
      </w:r>
      <w:r w:rsidR="003255E5">
        <w:t>e</w:t>
      </w:r>
      <w:r w:rsidR="009D47B4" w:rsidRPr="00712DB2">
        <w:t xml:space="preserve"> range of metabolic rates over which power-law behavior is predicted corresponds to stem diameters between </w:t>
      </w:r>
      <w:r w:rsidR="00726FCC">
        <w:t>approximately 30</w:t>
      </w:r>
      <w:r w:rsidR="009D47B4" w:rsidRPr="00712DB2">
        <w:t xml:space="preserve"> and </w:t>
      </w:r>
      <w:r w:rsidR="00726FCC">
        <w:t>10</w:t>
      </w:r>
      <w:r w:rsidR="009D47B4" w:rsidRPr="00712DB2">
        <w:t>00 mm. This range of diameters corresponds well with the ran</w:t>
      </w:r>
      <w:r w:rsidR="00D34C3C">
        <w:t xml:space="preserve">ge over which </w:t>
      </w:r>
      <w:proofErr w:type="spellStart"/>
      <w:r w:rsidR="00D34C3C">
        <w:t>Farrior</w:t>
      </w:r>
      <w:proofErr w:type="spellEnd"/>
      <w:r w:rsidR="00D34C3C">
        <w:t xml:space="preserve"> </w:t>
      </w:r>
      <w:r w:rsidR="00D34C3C" w:rsidRPr="00D34C3C">
        <w:rPr>
          <w:i/>
        </w:rPr>
        <w:t>et al</w:t>
      </w:r>
      <w:r w:rsidR="00D34C3C">
        <w:t>.</w:t>
      </w:r>
      <w:r w:rsidR="009D47B4" w:rsidRPr="00712DB2">
        <w:t xml:space="preserve"> </w:t>
      </w:r>
      <w:r w:rsidR="008834F3">
        <w:t xml:space="preserve">(2016) </w:t>
      </w:r>
      <w:r w:rsidR="009D47B4" w:rsidRPr="00712DB2">
        <w:t xml:space="preserve">predict power-law </w:t>
      </w:r>
      <w:r w:rsidR="008E217A">
        <w:t>behavior</w:t>
      </w:r>
      <w:r w:rsidR="009D47B4" w:rsidRPr="00712DB2">
        <w:t xml:space="preserve">. The exponential term in the numerator should begin to exert influence over the shape of the metabolic rate distribution for values of </w:t>
      </w:r>
      <w:r w:rsidR="009D47B4" w:rsidRPr="00712DB2">
        <w:rPr>
          <w:i/>
        </w:rPr>
        <w:sym w:font="Symbol" w:char="F065"/>
      </w:r>
      <w:r w:rsidR="009D47B4" w:rsidRPr="00712DB2">
        <w:rPr>
          <w:i/>
        </w:rPr>
        <w:t xml:space="preserve"> </w:t>
      </w:r>
      <w:r w:rsidR="009D47B4" w:rsidRPr="00712DB2">
        <w:t xml:space="preserve">&gt; 10000, corresponding to stem diameters &gt; 1000 mm, which matches well the transition threshold between exponential and the power-law dominance in </w:t>
      </w:r>
      <w:proofErr w:type="spellStart"/>
      <w:r w:rsidR="00767C4F" w:rsidRPr="00712DB2">
        <w:t>Farrior</w:t>
      </w:r>
      <w:proofErr w:type="spellEnd"/>
      <w:r w:rsidR="00767C4F" w:rsidRPr="00712DB2">
        <w:t xml:space="preserve"> </w:t>
      </w:r>
      <w:r w:rsidR="00767C4F" w:rsidRPr="00767C4F">
        <w:rPr>
          <w:i/>
        </w:rPr>
        <w:t>et al</w:t>
      </w:r>
      <w:r w:rsidR="009D47B4" w:rsidRPr="00712DB2">
        <w:t xml:space="preserve">. </w:t>
      </w:r>
      <w:r w:rsidR="008834F3">
        <w:t xml:space="preserve">(2016). </w:t>
      </w:r>
      <w:r w:rsidR="009D47B4" w:rsidRPr="00712DB2">
        <w:t xml:space="preserve">Because there are </w:t>
      </w:r>
      <w:r w:rsidR="00AF6EBF">
        <w:t>no adjustable parameters once the values of the Lagrange multipliers are fixed by empirical data</w:t>
      </w:r>
      <w:r w:rsidR="009D47B4" w:rsidRPr="00712DB2">
        <w:t xml:space="preserve">, the </w:t>
      </w:r>
      <w:r w:rsidR="008F1D65">
        <w:t xml:space="preserve">domain in which </w:t>
      </w:r>
      <w:r w:rsidR="009D47B4" w:rsidRPr="00712DB2">
        <w:t>power-law behavior and exponential behavior</w:t>
      </w:r>
      <w:r w:rsidR="008F1D65">
        <w:t xml:space="preserve"> separately hold</w:t>
      </w:r>
      <w:r w:rsidR="009D47B4" w:rsidRPr="00712DB2">
        <w:t>, as well as the power law exponent and the coefficient in the exponential term</w:t>
      </w:r>
      <w:r w:rsidR="008F1D65">
        <w:t>,</w:t>
      </w:r>
      <w:r w:rsidR="009D47B4" w:rsidRPr="00712DB2">
        <w:t xml:space="preserve"> are all uniquely predicted from </w:t>
      </w:r>
      <w:r w:rsidR="00696ACD">
        <w:t>the form of equation (1) and the measured values of the state variables</w:t>
      </w:r>
      <w:r w:rsidR="008F1D65">
        <w:t xml:space="preserve"> </w:t>
      </w:r>
      <w:r w:rsidR="00E37B03" w:rsidRPr="00E37B03">
        <w:rPr>
          <w:i/>
        </w:rPr>
        <w:t>S</w:t>
      </w:r>
      <w:r w:rsidR="00E37B03">
        <w:rPr>
          <w:vertAlign w:val="subscript"/>
        </w:rPr>
        <w:t>0</w:t>
      </w:r>
      <w:r w:rsidR="00E37B03">
        <w:t xml:space="preserve">, </w:t>
      </w:r>
      <w:r w:rsidR="00E37B03" w:rsidRPr="00E37B03">
        <w:rPr>
          <w:i/>
        </w:rPr>
        <w:t>N</w:t>
      </w:r>
      <w:r w:rsidR="00E37B03">
        <w:rPr>
          <w:vertAlign w:val="subscript"/>
        </w:rPr>
        <w:t>0</w:t>
      </w:r>
      <w:r w:rsidR="00E37B03">
        <w:t xml:space="preserve">, and </w:t>
      </w:r>
      <w:r w:rsidR="00E37B03" w:rsidRPr="00E37B03">
        <w:rPr>
          <w:i/>
        </w:rPr>
        <w:t>E</w:t>
      </w:r>
      <w:r w:rsidR="00E37B03">
        <w:rPr>
          <w:vertAlign w:val="subscript"/>
        </w:rPr>
        <w:t>0</w:t>
      </w:r>
      <w:r w:rsidR="00E37B03">
        <w:t>.</w:t>
      </w:r>
      <w:r w:rsidR="00CC24BD">
        <w:t xml:space="preserve"> </w:t>
      </w:r>
      <w:r w:rsidR="00D70D09">
        <w:t>We note that the shape of the distribution is independent of the units in which we measure metabolic rate</w:t>
      </w:r>
      <w:r w:rsidR="000E35F3">
        <w:t>. For example,</w:t>
      </w:r>
      <w:r w:rsidR="00D70D09">
        <w:t xml:space="preserve"> if we chose units in which the minimum metabolic rate had a value </w:t>
      </w:r>
      <w:r w:rsidR="00B237A9" w:rsidRPr="00FE592E">
        <w:rPr>
          <w:position w:val="-8"/>
        </w:rPr>
        <w:object w:dxaOrig="760" w:dyaOrig="280" w14:anchorId="5D7D58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pt;height:14pt" o:ole="">
            <v:imagedata r:id="rId10" o:title=""/>
          </v:shape>
          <o:OLEObject Type="Embed" ProgID="Equation.3" ShapeID="_x0000_i1025" DrawAspect="Content" ObjectID="_1430743766" r:id="rId11"/>
        </w:object>
      </w:r>
      <w:r w:rsidR="00D70D09">
        <w:t xml:space="preserve"> </w:t>
      </w:r>
      <w:r w:rsidR="00B237A9">
        <w:t xml:space="preserve">instead of </w:t>
      </w:r>
      <w:r w:rsidR="00B237A9" w:rsidRPr="00FE592E">
        <w:rPr>
          <w:position w:val="-8"/>
        </w:rPr>
        <w:object w:dxaOrig="720" w:dyaOrig="280" w14:anchorId="2CC88AF5">
          <v:shape id="_x0000_i1026" type="#_x0000_t75" style="width:36pt;height:14pt" o:ole="">
            <v:imagedata r:id="rId12" o:title=""/>
          </v:shape>
          <o:OLEObject Type="Embed" ProgID="Equation.3" ShapeID="_x0000_i1026" DrawAspect="Content" ObjectID="_1430743767" r:id="rId13"/>
        </w:object>
      </w:r>
      <w:r w:rsidR="00B237A9">
        <w:t>,</w:t>
      </w:r>
      <w:r w:rsidR="00D70D09">
        <w:t xml:space="preserve"> then the value of the state variable </w:t>
      </w:r>
      <w:r w:rsidR="00D70D09" w:rsidRPr="00FB4BC9">
        <w:rPr>
          <w:i/>
        </w:rPr>
        <w:t>E</w:t>
      </w:r>
      <w:r w:rsidR="00D70D09">
        <w:rPr>
          <w:vertAlign w:val="subscript"/>
        </w:rPr>
        <w:t>0</w:t>
      </w:r>
      <w:r w:rsidR="00D70D09">
        <w:t xml:space="preserve"> would double</w:t>
      </w:r>
      <w:r w:rsidR="000E35F3">
        <w:t>,</w:t>
      </w:r>
      <w:r w:rsidR="00D70D09">
        <w:t xml:space="preserve"> </w:t>
      </w:r>
      <w:r w:rsidR="00B237A9">
        <w:t xml:space="preserve">but </w:t>
      </w:r>
      <w:r w:rsidR="00D70D09">
        <w:t>the rank order of the stem diameter at which a break point occurs would not be altered.</w:t>
      </w:r>
    </w:p>
    <w:p w14:paraId="765FB312" w14:textId="77777777" w:rsidR="009D47B4" w:rsidRPr="00712DB2" w:rsidRDefault="009D47B4" w:rsidP="003A59AD">
      <w:pPr>
        <w:spacing w:line="480" w:lineRule="auto"/>
        <w:ind w:firstLine="720"/>
      </w:pPr>
      <w:r w:rsidRPr="00712DB2">
        <w:t>A co</w:t>
      </w:r>
      <w:r w:rsidR="00D34C3C">
        <w:t>mparison of the prediction in equation</w:t>
      </w:r>
      <w:r w:rsidRPr="00712DB2">
        <w:t xml:space="preserve"> </w:t>
      </w:r>
      <w:r w:rsidR="00D34C3C">
        <w:t>(</w:t>
      </w:r>
      <w:r w:rsidRPr="00712DB2">
        <w:t>1</w:t>
      </w:r>
      <w:r w:rsidR="00D34C3C">
        <w:t>)</w:t>
      </w:r>
      <w:r w:rsidRPr="00712DB2">
        <w:t xml:space="preserve"> with metabolic rates estimated </w:t>
      </w:r>
      <w:r w:rsidR="006556B6">
        <w:t>from</w:t>
      </w:r>
      <w:r w:rsidRPr="00712DB2">
        <w:t xml:space="preserve"> basal area at BCI is sh</w:t>
      </w:r>
      <w:r w:rsidR="00BF7F6B">
        <w:t>own in Fig.</w:t>
      </w:r>
      <w:r w:rsidRPr="00712DB2">
        <w:t xml:space="preserve"> </w:t>
      </w:r>
      <w:r w:rsidR="00AF09E3">
        <w:t>2</w:t>
      </w:r>
      <w:r w:rsidRPr="00712DB2">
        <w:t>a.</w:t>
      </w:r>
      <w:r w:rsidR="001F6B20">
        <w:t xml:space="preserve"> </w:t>
      </w:r>
      <w:r w:rsidRPr="00712DB2">
        <w:t>We use rank plots to display the data and the prediction in order to avoid the arbitrary choices involved in binning data into size classes, which also results in a loss of information</w:t>
      </w:r>
      <w:r w:rsidR="00696ACD">
        <w:t xml:space="preserve"> (</w:t>
      </w:r>
      <w:r w:rsidR="00B237A9">
        <w:t xml:space="preserve">White </w:t>
      </w:r>
      <w:r w:rsidR="00B237A9" w:rsidRPr="00FE592E">
        <w:rPr>
          <w:i/>
        </w:rPr>
        <w:t>et al</w:t>
      </w:r>
      <w:r w:rsidR="00B237A9">
        <w:t xml:space="preserve">., 2008; </w:t>
      </w:r>
      <w:proofErr w:type="spellStart"/>
      <w:r w:rsidR="00696ACD">
        <w:t>Virkar</w:t>
      </w:r>
      <w:proofErr w:type="spellEnd"/>
      <w:r w:rsidR="00696ACD">
        <w:t xml:space="preserve"> &amp; </w:t>
      </w:r>
      <w:proofErr w:type="spellStart"/>
      <w:r w:rsidR="00696ACD">
        <w:t>Clauset</w:t>
      </w:r>
      <w:proofErr w:type="spellEnd"/>
      <w:r w:rsidR="00696ACD">
        <w:t>, 2014)</w:t>
      </w:r>
      <w:r w:rsidRPr="00712DB2">
        <w:t xml:space="preserve">. </w:t>
      </w:r>
      <w:r w:rsidR="005F4935">
        <w:t>Relatively small but s</w:t>
      </w:r>
      <w:r w:rsidRPr="00712DB2">
        <w:t xml:space="preserve">ystematic differences between the METE prediction and observation are revealed in </w:t>
      </w:r>
      <w:r w:rsidR="006F1A27">
        <w:t>Fig.</w:t>
      </w:r>
      <w:r w:rsidRPr="00712DB2">
        <w:t xml:space="preserve"> </w:t>
      </w:r>
      <w:r w:rsidR="00AF09E3">
        <w:t>2</w:t>
      </w:r>
      <w:r w:rsidRPr="00712DB2">
        <w:t xml:space="preserve">a, just as was the case for the model in </w:t>
      </w:r>
      <w:proofErr w:type="spellStart"/>
      <w:r w:rsidRPr="00712DB2">
        <w:t>Farrior</w:t>
      </w:r>
      <w:proofErr w:type="spellEnd"/>
      <w:r w:rsidRPr="00712DB2">
        <w:t xml:space="preserve"> </w:t>
      </w:r>
      <w:r w:rsidRPr="00D34C3C">
        <w:rPr>
          <w:i/>
        </w:rPr>
        <w:t>et al</w:t>
      </w:r>
      <w:r w:rsidRPr="00712DB2">
        <w:t xml:space="preserve">. </w:t>
      </w:r>
      <w:r w:rsidR="008834F3">
        <w:t xml:space="preserve">(2016). </w:t>
      </w:r>
      <w:r w:rsidRPr="00712DB2">
        <w:t xml:space="preserve">We do not know how much of the discrepancy is simply due to inaccuracies in the tree </w:t>
      </w:r>
      <w:proofErr w:type="spellStart"/>
      <w:r w:rsidRPr="00712DB2">
        <w:t>allometry</w:t>
      </w:r>
      <w:proofErr w:type="spellEnd"/>
      <w:r w:rsidRPr="00712DB2">
        <w:t xml:space="preserve"> and the metabolic scaling rule that were used here to replace metabolic rate with basal area, particularly for the ~30 largest individual trees in the plot (out of ~230,000) for which the deviation between theory and observation is greatest. </w:t>
      </w:r>
    </w:p>
    <w:p w14:paraId="5065A117" w14:textId="77777777" w:rsidR="009D47B4" w:rsidRPr="00712DB2" w:rsidRDefault="00767C4F" w:rsidP="003A59AD">
      <w:pPr>
        <w:spacing w:line="480" w:lineRule="auto"/>
        <w:ind w:firstLine="720"/>
      </w:pPr>
      <w:r>
        <w:t>Xiao</w:t>
      </w:r>
      <w:r w:rsidR="00D34C3C">
        <w:t xml:space="preserve"> </w:t>
      </w:r>
      <w:r w:rsidR="00D34C3C" w:rsidRPr="00D34C3C">
        <w:rPr>
          <w:i/>
        </w:rPr>
        <w:t>et al</w:t>
      </w:r>
      <w:r w:rsidR="00D34C3C">
        <w:t xml:space="preserve">. </w:t>
      </w:r>
      <w:r w:rsidR="009D47B4" w:rsidRPr="00712DB2">
        <w:t>(2015) show</w:t>
      </w:r>
      <w:r w:rsidR="0036231E">
        <w:t>ed</w:t>
      </w:r>
      <w:r w:rsidR="009D47B4" w:rsidRPr="00712DB2">
        <w:t xml:space="preserve"> that </w:t>
      </w:r>
      <w:r w:rsidR="009D47B4" w:rsidRPr="00712DB2">
        <w:rPr>
          <w:bCs/>
        </w:rPr>
        <w:t>the M</w:t>
      </w:r>
      <w:r w:rsidR="00D34C3C">
        <w:rPr>
          <w:bCs/>
        </w:rPr>
        <w:t>ETE</w:t>
      </w:r>
      <w:r w:rsidR="009D47B4" w:rsidRPr="00712DB2">
        <w:rPr>
          <w:bCs/>
        </w:rPr>
        <w:t xml:space="preserve"> prediction</w:t>
      </w:r>
      <w:r w:rsidR="009D47B4" w:rsidRPr="00712DB2">
        <w:t xml:space="preserve"> </w:t>
      </w:r>
      <w:r w:rsidR="00D70D09">
        <w:t>(</w:t>
      </w:r>
      <w:r w:rsidR="0014485A">
        <w:t>equation (</w:t>
      </w:r>
      <w:r w:rsidR="00D70D09">
        <w:t>1</w:t>
      </w:r>
      <w:r w:rsidR="0014485A">
        <w:t>)</w:t>
      </w:r>
      <w:r w:rsidR="00D70D09">
        <w:t xml:space="preserve">) </w:t>
      </w:r>
      <w:r w:rsidR="009D47B4" w:rsidRPr="00712DB2">
        <w:t xml:space="preserve">accurately describes the distribution of tree metabolic rates in the </w:t>
      </w:r>
      <w:r w:rsidR="009D47B4" w:rsidRPr="00712DB2">
        <w:rPr>
          <w:bCs/>
        </w:rPr>
        <w:t xml:space="preserve">60 globally distributed forests </w:t>
      </w:r>
      <w:r w:rsidR="009D47B4" w:rsidRPr="00712DB2">
        <w:t>they analyzed.</w:t>
      </w:r>
      <w:r w:rsidR="001F6B20">
        <w:t xml:space="preserve"> </w:t>
      </w:r>
      <w:r w:rsidR="009D47B4" w:rsidRPr="00712DB2">
        <w:t xml:space="preserve">Their data sets included a total of </w:t>
      </w:r>
      <w:r w:rsidR="009D47B4" w:rsidRPr="00712DB2">
        <w:sym w:font="Symbol" w:char="F0BB"/>
      </w:r>
      <w:r w:rsidR="009D47B4" w:rsidRPr="00712DB2">
        <w:t xml:space="preserve"> </w:t>
      </w:r>
      <w:r w:rsidR="009D47B4" w:rsidRPr="00712DB2">
        <w:rPr>
          <w:bCs/>
        </w:rPr>
        <w:t xml:space="preserve">2000 species and </w:t>
      </w:r>
      <w:r w:rsidR="009D47B4" w:rsidRPr="00712DB2">
        <w:sym w:font="Symbol" w:char="F0BB"/>
      </w:r>
      <w:r w:rsidR="009D47B4" w:rsidRPr="00712DB2">
        <w:t xml:space="preserve"> </w:t>
      </w:r>
      <w:r w:rsidR="009D47B4" w:rsidRPr="00712DB2">
        <w:rPr>
          <w:bCs/>
        </w:rPr>
        <w:t>300,000 individuals</w:t>
      </w:r>
      <w:r w:rsidR="009D47B4" w:rsidRPr="00712DB2">
        <w:t>.</w:t>
      </w:r>
      <w:r w:rsidR="001F6B20">
        <w:t xml:space="preserve"> </w:t>
      </w:r>
      <w:r w:rsidR="009D47B4" w:rsidRPr="00712DB2">
        <w:t xml:space="preserve">Newman </w:t>
      </w:r>
      <w:r w:rsidR="009D47B4" w:rsidRPr="00D34C3C">
        <w:rPr>
          <w:i/>
        </w:rPr>
        <w:t>et al.</w:t>
      </w:r>
      <w:r w:rsidR="009D47B4" w:rsidRPr="00712DB2">
        <w:t xml:space="preserve"> (201</w:t>
      </w:r>
      <w:r w:rsidR="008E217A">
        <w:t>4</w:t>
      </w:r>
      <w:r w:rsidR="009D47B4" w:rsidRPr="00712DB2">
        <w:t>) show</w:t>
      </w:r>
      <w:r w:rsidR="0036231E">
        <w:t>ed</w:t>
      </w:r>
      <w:r w:rsidR="009D47B4" w:rsidRPr="00712DB2">
        <w:t xml:space="preserve"> it equally well describes </w:t>
      </w:r>
      <w:r w:rsidR="00BF7F6B">
        <w:rPr>
          <w:bCs/>
        </w:rPr>
        <w:t>meadow vegetation (Fig.</w:t>
      </w:r>
      <w:r w:rsidR="009D47B4" w:rsidRPr="00712DB2">
        <w:rPr>
          <w:bCs/>
        </w:rPr>
        <w:t xml:space="preserve"> </w:t>
      </w:r>
      <w:r w:rsidR="00AF09E3">
        <w:rPr>
          <w:bCs/>
        </w:rPr>
        <w:t>2</w:t>
      </w:r>
      <w:r>
        <w:rPr>
          <w:bCs/>
        </w:rPr>
        <w:t>b</w:t>
      </w:r>
      <w:r w:rsidR="009D47B4" w:rsidRPr="00712DB2">
        <w:rPr>
          <w:bCs/>
        </w:rPr>
        <w:t>)</w:t>
      </w:r>
      <w:r w:rsidR="009D47B4" w:rsidRPr="00712DB2">
        <w:t>.</w:t>
      </w:r>
      <w:r w:rsidR="001F6B20">
        <w:t xml:space="preserve"> </w:t>
      </w:r>
      <w:r w:rsidR="009D47B4" w:rsidRPr="00712DB2">
        <w:t xml:space="preserve">Rominger </w:t>
      </w:r>
      <w:r w:rsidR="009D47B4" w:rsidRPr="00D34C3C">
        <w:rPr>
          <w:i/>
        </w:rPr>
        <w:t>et al.</w:t>
      </w:r>
      <w:r w:rsidR="009D47B4" w:rsidRPr="00712DB2">
        <w:t xml:space="preserve"> (2016) and Harte (2011) show</w:t>
      </w:r>
      <w:r w:rsidR="0036231E">
        <w:t>ed</w:t>
      </w:r>
      <w:r w:rsidR="009D47B4" w:rsidRPr="00712DB2">
        <w:t xml:space="preserve"> it applies to </w:t>
      </w:r>
      <w:r w:rsidR="00BF7F6B">
        <w:rPr>
          <w:bCs/>
        </w:rPr>
        <w:t>arthropods (Fig.</w:t>
      </w:r>
      <w:r w:rsidR="00CE4BB7">
        <w:rPr>
          <w:bCs/>
        </w:rPr>
        <w:t xml:space="preserve"> </w:t>
      </w:r>
      <w:r w:rsidR="00AF09E3">
        <w:rPr>
          <w:bCs/>
        </w:rPr>
        <w:t>2</w:t>
      </w:r>
      <w:r>
        <w:rPr>
          <w:bCs/>
        </w:rPr>
        <w:t>c</w:t>
      </w:r>
      <w:r w:rsidR="009D47B4" w:rsidRPr="00712DB2">
        <w:rPr>
          <w:bCs/>
        </w:rPr>
        <w:t>).</w:t>
      </w:r>
      <w:r w:rsidR="001F6B20">
        <w:rPr>
          <w:bCs/>
        </w:rPr>
        <w:t xml:space="preserve"> </w:t>
      </w:r>
      <w:r w:rsidR="009D47B4" w:rsidRPr="00712DB2">
        <w:rPr>
          <w:bCs/>
        </w:rPr>
        <w:t>It is noteworthy that the open-canopy meadow vegetation and the art</w:t>
      </w:r>
      <w:r w:rsidR="00BF7F6B">
        <w:rPr>
          <w:bCs/>
        </w:rPr>
        <w:t>hropod communities in Fig</w:t>
      </w:r>
      <w:r w:rsidR="00CE4BB7">
        <w:rPr>
          <w:bCs/>
        </w:rPr>
        <w:t xml:space="preserve">s </w:t>
      </w:r>
      <w:r w:rsidR="00AF09E3">
        <w:rPr>
          <w:bCs/>
        </w:rPr>
        <w:t>2</w:t>
      </w:r>
      <w:r>
        <w:rPr>
          <w:bCs/>
        </w:rPr>
        <w:t>b</w:t>
      </w:r>
      <w:r w:rsidR="00CE4BB7">
        <w:rPr>
          <w:bCs/>
        </w:rPr>
        <w:t>-</w:t>
      </w:r>
      <w:r>
        <w:rPr>
          <w:bCs/>
        </w:rPr>
        <w:t>c</w:t>
      </w:r>
      <w:r w:rsidR="009D47B4" w:rsidRPr="00712DB2">
        <w:rPr>
          <w:bCs/>
        </w:rPr>
        <w:t xml:space="preserve"> would not be considered light-limited.</w:t>
      </w:r>
    </w:p>
    <w:p w14:paraId="65E1CA64" w14:textId="77777777" w:rsidR="00BF7F6B" w:rsidRDefault="00BF7F6B" w:rsidP="00712DB2">
      <w:pPr>
        <w:spacing w:line="480" w:lineRule="auto"/>
      </w:pPr>
    </w:p>
    <w:p w14:paraId="221E52C5" w14:textId="77777777" w:rsidR="009D47B4" w:rsidRPr="00BF7F6B" w:rsidRDefault="00915E98" w:rsidP="00712DB2">
      <w:pPr>
        <w:spacing w:line="480" w:lineRule="auto"/>
        <w:rPr>
          <w:b/>
        </w:rPr>
      </w:pPr>
      <w:r>
        <w:rPr>
          <w:b/>
        </w:rPr>
        <w:t>DIS</w:t>
      </w:r>
      <w:r w:rsidR="00485127">
        <w:rPr>
          <w:b/>
        </w:rPr>
        <w:t>CUSSION</w:t>
      </w:r>
    </w:p>
    <w:p w14:paraId="005A0D63" w14:textId="77777777" w:rsidR="00915E98" w:rsidRDefault="009D47B4" w:rsidP="0036231E">
      <w:pPr>
        <w:spacing w:line="480" w:lineRule="auto"/>
      </w:pPr>
      <w:r w:rsidRPr="00712DB2">
        <w:t xml:space="preserve">We are not claiming that the METE prediction is, statistically, better than the model prediction in </w:t>
      </w:r>
      <w:proofErr w:type="spellStart"/>
      <w:r w:rsidRPr="00712DB2">
        <w:t>Farrior</w:t>
      </w:r>
      <w:proofErr w:type="spellEnd"/>
      <w:r w:rsidRPr="00712DB2">
        <w:t xml:space="preserve"> </w:t>
      </w:r>
      <w:r w:rsidR="00640DB5" w:rsidRPr="00767C4F">
        <w:rPr>
          <w:i/>
        </w:rPr>
        <w:t>et al</w:t>
      </w:r>
      <w:r w:rsidR="00640DB5" w:rsidRPr="00712DB2">
        <w:t xml:space="preserve">. </w:t>
      </w:r>
      <w:r w:rsidRPr="00712DB2">
        <w:t xml:space="preserve">(2016). Comparing </w:t>
      </w:r>
      <w:r w:rsidR="00726FCC">
        <w:t xml:space="preserve">the merits of METE and a light-limitation model </w:t>
      </w:r>
      <w:r w:rsidRPr="00712DB2">
        <w:t xml:space="preserve">at this stage </w:t>
      </w:r>
      <w:r w:rsidR="00726FCC">
        <w:t xml:space="preserve">is not straightforward </w:t>
      </w:r>
      <w:r w:rsidRPr="00712DB2">
        <w:t>because METE predicts many other macroecological metrics besides the metabolic rate distribution</w:t>
      </w:r>
      <w:r w:rsidR="006556B6">
        <w:t>,</w:t>
      </w:r>
      <w:r w:rsidRPr="00712DB2">
        <w:t xml:space="preserve"> such as species-area relationships, abundance distributions, size-abundance relationships, and distributions of species richness over higher taxonomic classifications (Harte </w:t>
      </w:r>
      <w:r w:rsidRPr="00D34C3C">
        <w:rPr>
          <w:i/>
        </w:rPr>
        <w:t>et al</w:t>
      </w:r>
      <w:r w:rsidRPr="00712DB2">
        <w:t xml:space="preserve">., 2008; 2009, 2015; Harte, 2011; Harte </w:t>
      </w:r>
      <w:r w:rsidR="00D34C3C">
        <w:t>&amp;</w:t>
      </w:r>
      <w:r w:rsidRPr="00712DB2">
        <w:t xml:space="preserve"> Newman, 2014).</w:t>
      </w:r>
      <w:r w:rsidR="00A55633">
        <w:t xml:space="preserve"> </w:t>
      </w:r>
      <w:r w:rsidR="000A1254">
        <w:t>G</w:t>
      </w:r>
      <w:r w:rsidR="009B67BA">
        <w:t>i</w:t>
      </w:r>
      <w:r w:rsidR="000A1254">
        <w:t>ven inher</w:t>
      </w:r>
      <w:r w:rsidR="009B67BA">
        <w:t xml:space="preserve">ent uncertainties in both tropical tree </w:t>
      </w:r>
      <w:proofErr w:type="spellStart"/>
      <w:r w:rsidR="009B67BA">
        <w:t>allome</w:t>
      </w:r>
      <w:r w:rsidR="000A1254">
        <w:t>try</w:t>
      </w:r>
      <w:proofErr w:type="spellEnd"/>
      <w:r w:rsidR="000A1254">
        <w:t xml:space="preserve"> and metabolic scaling</w:t>
      </w:r>
      <w:r w:rsidR="009B67BA">
        <w:t>, which are needed to make the connection between</w:t>
      </w:r>
      <w:r w:rsidR="00A55633">
        <w:t xml:space="preserve"> </w:t>
      </w:r>
      <w:r w:rsidR="009B67BA">
        <w:t>predictions and measured data, we see no merit in making fine comparative distinctions in goodness of fit for the model and the theory.</w:t>
      </w:r>
      <w:r w:rsidR="00A55633">
        <w:t xml:space="preserve"> </w:t>
      </w:r>
    </w:p>
    <w:p w14:paraId="19C03CD3" w14:textId="77777777" w:rsidR="0036231E" w:rsidRDefault="00915E98" w:rsidP="0036231E">
      <w:pPr>
        <w:spacing w:line="480" w:lineRule="auto"/>
      </w:pPr>
      <w:r>
        <w:t xml:space="preserve">           </w:t>
      </w:r>
      <w:r w:rsidR="000A1254">
        <w:t>Nor do we claim that light limitation is not a factor influencing the size distribution of trees at BCI.</w:t>
      </w:r>
      <w:r w:rsidR="00A55633">
        <w:t xml:space="preserve"> </w:t>
      </w:r>
      <w:r w:rsidR="009D47B4" w:rsidRPr="00712DB2">
        <w:t>Instead,</w:t>
      </w:r>
      <w:r>
        <w:t xml:space="preserve"> we are pointing out that a statistical</w:t>
      </w:r>
      <w:r w:rsidR="009D47B4" w:rsidRPr="00712DB2">
        <w:t xml:space="preserve"> theory </w:t>
      </w:r>
      <w:r w:rsidR="000A1254">
        <w:t>(Harte, 2011</w:t>
      </w:r>
      <w:r w:rsidR="009A6759">
        <w:t>;</w:t>
      </w:r>
      <w:r w:rsidR="000A1254">
        <w:t xml:space="preserve"> Harte </w:t>
      </w:r>
      <w:r w:rsidR="009A6759">
        <w:t>&amp;</w:t>
      </w:r>
      <w:r w:rsidR="000A1254">
        <w:t xml:space="preserve"> Newman 2014)</w:t>
      </w:r>
      <w:r w:rsidR="0045258D">
        <w:t>, which</w:t>
      </w:r>
      <w:r w:rsidR="009D47B4" w:rsidRPr="00712DB2">
        <w:t xml:space="preserve"> makes no </w:t>
      </w:r>
      <w:r w:rsidR="009D47B4" w:rsidRPr="00AF6EBF">
        <w:t>explicit assumptions about light</w:t>
      </w:r>
      <w:r w:rsidR="000A1254">
        <w:t xml:space="preserve"> limitation</w:t>
      </w:r>
      <w:r w:rsidR="0045258D">
        <w:t>,</w:t>
      </w:r>
      <w:r w:rsidR="00A55633">
        <w:t xml:space="preserve"> </w:t>
      </w:r>
      <w:r w:rsidR="00485127">
        <w:t>and a light</w:t>
      </w:r>
      <w:r w:rsidR="000A1254">
        <w:t>-</w:t>
      </w:r>
      <w:r w:rsidR="005E6B00">
        <w:t>limitation</w:t>
      </w:r>
      <w:r w:rsidR="0045258D">
        <w:t xml:space="preserve"> model</w:t>
      </w:r>
      <w:r w:rsidR="000A1254">
        <w:t xml:space="preserve"> </w:t>
      </w:r>
      <w:r w:rsidR="00485127">
        <w:t>yield</w:t>
      </w:r>
      <w:r w:rsidR="009D47B4" w:rsidRPr="00712DB2">
        <w:t xml:space="preserve"> </w:t>
      </w:r>
      <w:r w:rsidR="005E6B00">
        <w:t>functionally</w:t>
      </w:r>
      <w:r w:rsidR="0045258D">
        <w:t xml:space="preserve"> similar and comparably </w:t>
      </w:r>
      <w:r w:rsidR="009D47B4" w:rsidRPr="00712DB2">
        <w:t>accurate predict</w:t>
      </w:r>
      <w:r w:rsidR="000A1254">
        <w:t>ions for the</w:t>
      </w:r>
      <w:r w:rsidR="00A55633">
        <w:t xml:space="preserve"> </w:t>
      </w:r>
      <w:r w:rsidR="009D47B4" w:rsidRPr="00712DB2">
        <w:t>distr</w:t>
      </w:r>
      <w:r w:rsidR="00D34C3C">
        <w:t>ibution of metabolic rates</w:t>
      </w:r>
      <w:r w:rsidR="000A1254">
        <w:t xml:space="preserve"> of trees at</w:t>
      </w:r>
      <w:r w:rsidR="00485127">
        <w:t xml:space="preserve"> the BCI forest plot</w:t>
      </w:r>
      <w:r w:rsidR="009D47B4" w:rsidRPr="00712DB2">
        <w:t>.</w:t>
      </w:r>
      <w:r w:rsidR="00A55633">
        <w:t xml:space="preserve"> </w:t>
      </w:r>
    </w:p>
    <w:p w14:paraId="7EEA246C" w14:textId="77777777" w:rsidR="005F4935" w:rsidRDefault="005F4935" w:rsidP="0036231E">
      <w:pPr>
        <w:spacing w:line="480" w:lineRule="auto"/>
        <w:ind w:firstLine="720"/>
      </w:pPr>
      <w:r>
        <w:t>Because the</w:t>
      </w:r>
      <w:r w:rsidR="000A1254">
        <w:t xml:space="preserve"> theory predicts the metabolic rate distribution equally well for taxa and habitats that are clearly not light limited, </w:t>
      </w:r>
      <w:r w:rsidR="0045258D">
        <w:t>we can conclude that the</w:t>
      </w:r>
      <w:r w:rsidR="00A55633">
        <w:t xml:space="preserve"> </w:t>
      </w:r>
      <w:r w:rsidR="0045258D">
        <w:t xml:space="preserve">general properties of the METE prediction for the metabolic rate distribution (constant at very small metabolic rates, </w:t>
      </w:r>
      <w:r w:rsidR="00CB7438">
        <w:t>power</w:t>
      </w:r>
      <w:r w:rsidR="0036231E">
        <w:t>-</w:t>
      </w:r>
      <w:r w:rsidR="00CB7438">
        <w:t xml:space="preserve">law at intermediate rates, and </w:t>
      </w:r>
      <w:r w:rsidR="005E6B00">
        <w:t>exponential</w:t>
      </w:r>
      <w:r w:rsidR="00CB7438">
        <w:t xml:space="preserve"> at large rates) provide a robust </w:t>
      </w:r>
      <w:r w:rsidR="005E6B00">
        <w:t>description</w:t>
      </w:r>
      <w:r w:rsidR="00CB7438">
        <w:t xml:space="preserve"> of size or metabolic rate distributions when light limitation is not a factor.</w:t>
      </w:r>
      <w:r w:rsidR="00A55633">
        <w:t xml:space="preserve"> </w:t>
      </w:r>
    </w:p>
    <w:p w14:paraId="77842D29" w14:textId="77777777" w:rsidR="00451DC2" w:rsidRDefault="00CB7438" w:rsidP="00E37B03">
      <w:pPr>
        <w:spacing w:line="480" w:lineRule="auto"/>
        <w:ind w:firstLine="720"/>
      </w:pPr>
      <w:r>
        <w:t>METE is a statistical theory of allocation of metabolism to individuals and individuals to species</w:t>
      </w:r>
      <w:r w:rsidR="005E6B00">
        <w:t xml:space="preserve"> </w:t>
      </w:r>
      <w:r>
        <w:t xml:space="preserve">that builds in a limitation or constraint; namely that </w:t>
      </w:r>
      <w:r w:rsidR="0098008F">
        <w:t xml:space="preserve">the sum </w:t>
      </w:r>
      <w:r>
        <w:t xml:space="preserve">of all the </w:t>
      </w:r>
      <w:r w:rsidR="0098008F">
        <w:t>in</w:t>
      </w:r>
      <w:r>
        <w:t>dividual metabolic rates is a fixed constant.</w:t>
      </w:r>
      <w:r w:rsidR="00A55633">
        <w:t xml:space="preserve"> </w:t>
      </w:r>
      <w:r>
        <w:t xml:space="preserve">Thus it is possible that </w:t>
      </w:r>
      <w:r w:rsidR="0098008F">
        <w:t xml:space="preserve">the </w:t>
      </w:r>
      <w:proofErr w:type="spellStart"/>
      <w:r w:rsidR="0098008F">
        <w:t>Farrior</w:t>
      </w:r>
      <w:proofErr w:type="spellEnd"/>
      <w:r w:rsidR="0098008F">
        <w:t xml:space="preserve"> </w:t>
      </w:r>
      <w:r w:rsidR="0098008F" w:rsidRPr="009A6759">
        <w:rPr>
          <w:i/>
        </w:rPr>
        <w:t>et al.</w:t>
      </w:r>
      <w:r w:rsidR="0098008F">
        <w:t xml:space="preserve"> (2016) model provides a specific realization of the more general feature of constraint or limitation, and that a different mechanistic model </w:t>
      </w:r>
      <w:r w:rsidR="00451DC2">
        <w:t xml:space="preserve">with a constraint </w:t>
      </w:r>
      <w:r w:rsidR="0098008F">
        <w:t>could describe the metabolic rate distributions in the arthropod and the meadow vegetation community.</w:t>
      </w:r>
      <w:r w:rsidR="00A55633">
        <w:t xml:space="preserve"> </w:t>
      </w:r>
      <w:r w:rsidR="00451DC2">
        <w:t>In such a case, it is not unreasonable that</w:t>
      </w:r>
      <w:r w:rsidR="0098008F">
        <w:t xml:space="preserve"> the two approaches, a mechanistic model with adjustable fitting parameters, and a statistical theory </w:t>
      </w:r>
      <w:r w:rsidR="00E37B03">
        <w:t xml:space="preserve">in which measured state variables determine the explicit shape of the distribution, </w:t>
      </w:r>
      <w:r w:rsidR="00451DC2">
        <w:t>could both make very similar predictions.</w:t>
      </w:r>
      <w:r w:rsidR="0098008F">
        <w:t xml:space="preserve"> </w:t>
      </w:r>
    </w:p>
    <w:p w14:paraId="24C57FE6" w14:textId="77777777" w:rsidR="005B65F7" w:rsidRPr="00712DB2" w:rsidRDefault="00451DC2" w:rsidP="00E924D4">
      <w:pPr>
        <w:spacing w:line="480" w:lineRule="auto"/>
        <w:ind w:firstLine="720"/>
      </w:pPr>
      <w:r w:rsidRPr="00AF6EBF">
        <w:t>If th</w:t>
      </w:r>
      <w:r>
        <w:t>e above is correct,</w:t>
      </w:r>
      <w:r w:rsidR="0053054D">
        <w:t xml:space="preserve"> further insight might come from a</w:t>
      </w:r>
      <w:r w:rsidRPr="00AF6EBF">
        <w:t xml:space="preserve">uxiliary </w:t>
      </w:r>
      <w:r w:rsidR="0053054D">
        <w:t xml:space="preserve">predictions </w:t>
      </w:r>
      <w:r w:rsidRPr="00AF6EBF">
        <w:t xml:space="preserve">(McGill, 2003; McGill </w:t>
      </w:r>
      <w:r w:rsidRPr="00AF6EBF">
        <w:rPr>
          <w:i/>
        </w:rPr>
        <w:t>et al</w:t>
      </w:r>
      <w:r w:rsidRPr="00AF6EBF">
        <w:t>., 2007) of the light limitation model</w:t>
      </w:r>
      <w:r w:rsidR="0053054D">
        <w:t xml:space="preserve"> for macroecological metrics such as the species abundance distribution and the species area relationship to determine if they are also as accurate as the METE predictions for those metrics.</w:t>
      </w:r>
      <w:r w:rsidR="00E924D4">
        <w:t xml:space="preserve"> </w:t>
      </w:r>
      <w:r w:rsidR="009D47B4" w:rsidRPr="00712DB2">
        <w:t xml:space="preserve">On the other hand, it is possible </w:t>
      </w:r>
      <w:r w:rsidR="0053054D">
        <w:t xml:space="preserve">that </w:t>
      </w:r>
      <w:r w:rsidR="00915E98">
        <w:t xml:space="preserve">a </w:t>
      </w:r>
      <w:r w:rsidR="009D47B4" w:rsidRPr="00712DB2">
        <w:t xml:space="preserve">statistical theory such as METE is successful precisely </w:t>
      </w:r>
      <w:r w:rsidR="009D47B4" w:rsidRPr="00AF6EBF">
        <w:t>because a multiplicity of mechanisms</w:t>
      </w:r>
      <w:r w:rsidR="009D47B4" w:rsidRPr="00712DB2">
        <w:t xml:space="preserve"> operate at every site</w:t>
      </w:r>
      <w:r w:rsidR="00D32AD3">
        <w:t>, including the BCI forest,</w:t>
      </w:r>
      <w:r w:rsidR="00A55633">
        <w:t xml:space="preserve"> </w:t>
      </w:r>
      <w:r w:rsidR="009D47B4" w:rsidRPr="00712DB2">
        <w:t>to structure size distributions</w:t>
      </w:r>
      <w:r w:rsidR="0053054D">
        <w:t xml:space="preserve">, </w:t>
      </w:r>
      <w:r w:rsidR="00D32AD3">
        <w:t>and that l</w:t>
      </w:r>
      <w:r w:rsidR="0053054D">
        <w:t xml:space="preserve">ight </w:t>
      </w:r>
      <w:r w:rsidR="006A5DE0">
        <w:t xml:space="preserve">limitation is </w:t>
      </w:r>
      <w:r w:rsidR="0053054D">
        <w:t xml:space="preserve">only one of many possible </w:t>
      </w:r>
      <w:r w:rsidR="00D32AD3">
        <w:t>such mechanisms</w:t>
      </w:r>
      <w:r w:rsidR="006A5DE0">
        <w:t xml:space="preserve"> at BCI</w:t>
      </w:r>
      <w:r w:rsidR="005B65F7">
        <w:t>.</w:t>
      </w:r>
      <w:r w:rsidR="00A55633">
        <w:t xml:space="preserve"> </w:t>
      </w:r>
      <w:r w:rsidR="005B65F7">
        <w:t xml:space="preserve">The success of METE’s predicted form across systems, including those that are clearly not light limited, enriches our capacity to predict patterns in macroecology without making explicit mechanistic assumptions, and reinforces the hope that a unified theoretical framework </w:t>
      </w:r>
      <w:r w:rsidR="00E924D4">
        <w:t xml:space="preserve">based </w:t>
      </w:r>
      <w:r w:rsidR="005B65F7">
        <w:t>on a statistical foundation can capture ubiquitous features of patterns in ecology across a wide variety of ecosystems that are each governed by a wide variety of mechanisms.</w:t>
      </w:r>
    </w:p>
    <w:p w14:paraId="47C853BA" w14:textId="77777777" w:rsidR="009D47B4" w:rsidRPr="00712DB2" w:rsidRDefault="008778FE" w:rsidP="005B65F7">
      <w:pPr>
        <w:spacing w:line="480" w:lineRule="auto"/>
        <w:ind w:firstLine="720"/>
      </w:pPr>
      <w:r>
        <w:t>We conclude that the accumulation</w:t>
      </w:r>
      <w:r w:rsidR="00D32AD3">
        <w:t xml:space="preserve"> of </w:t>
      </w:r>
      <w:r>
        <w:t xml:space="preserve">data describing </w:t>
      </w:r>
      <w:r w:rsidR="00D32AD3">
        <w:t>empirical patterns and distributions in macroecology</w:t>
      </w:r>
      <w:r>
        <w:t xml:space="preserve">, </w:t>
      </w:r>
      <w:r w:rsidR="00D32AD3">
        <w:t xml:space="preserve">in combination with predictive </w:t>
      </w:r>
      <w:r>
        <w:t>models and theories, promotes progress toward a comprehensive and unified understanding of the structure of ecological communities.</w:t>
      </w:r>
      <w:r w:rsidR="00A55633">
        <w:t xml:space="preserve"> </w:t>
      </w:r>
    </w:p>
    <w:p w14:paraId="6B40D0BF" w14:textId="77777777" w:rsidR="008173CA" w:rsidRDefault="008173CA" w:rsidP="00712DB2">
      <w:pPr>
        <w:spacing w:line="480" w:lineRule="auto"/>
      </w:pPr>
    </w:p>
    <w:p w14:paraId="309528D9" w14:textId="77777777" w:rsidR="008173CA" w:rsidRPr="008173CA" w:rsidRDefault="008173CA" w:rsidP="00712DB2">
      <w:pPr>
        <w:spacing w:line="480" w:lineRule="auto"/>
        <w:rPr>
          <w:b/>
        </w:rPr>
      </w:pPr>
      <w:r w:rsidRPr="008173CA">
        <w:rPr>
          <w:b/>
        </w:rPr>
        <w:t>ACKNOWLEDGEMENTS</w:t>
      </w:r>
    </w:p>
    <w:p w14:paraId="654CD13D" w14:textId="77777777" w:rsidR="009D47B4" w:rsidRPr="003463B8" w:rsidRDefault="003463B8" w:rsidP="003463B8">
      <w:pPr>
        <w:spacing w:line="480" w:lineRule="auto"/>
      </w:pPr>
      <w:r w:rsidRPr="003463B8">
        <w:t xml:space="preserve">Funding </w:t>
      </w:r>
      <w:r>
        <w:t xml:space="preserve">for this project </w:t>
      </w:r>
      <w:r w:rsidRPr="003463B8">
        <w:t>was provided by the Gordon and Betty Moore Foundatio</w:t>
      </w:r>
      <w:r>
        <w:t xml:space="preserve">n and by grant DEB </w:t>
      </w:r>
      <w:r w:rsidRPr="003463B8">
        <w:t xml:space="preserve">1137685 from the US National Science Foundation. </w:t>
      </w:r>
      <w:proofErr w:type="gramStart"/>
      <w:r w:rsidR="00655218" w:rsidRPr="003463B8">
        <w:t>Post</w:t>
      </w:r>
      <w:r w:rsidR="00442BFE" w:rsidRPr="003463B8">
        <w:t xml:space="preserve">doctoral funding for EAN </w:t>
      </w:r>
      <w:r w:rsidR="00045764" w:rsidRPr="003463B8">
        <w:t xml:space="preserve">was </w:t>
      </w:r>
      <w:r w:rsidR="00442BFE" w:rsidRPr="003463B8">
        <w:t>provided by the University of Arizona</w:t>
      </w:r>
      <w:r w:rsidR="00045764" w:rsidRPr="003463B8">
        <w:t xml:space="preserve"> and the USDA Forest Service</w:t>
      </w:r>
      <w:r w:rsidR="00655218" w:rsidRPr="003463B8">
        <w:t>; and</w:t>
      </w:r>
      <w:r w:rsidR="00442BFE" w:rsidRPr="003463B8">
        <w:t xml:space="preserve"> for AJR by the Berkeley Initiative in Global Change Biology</w:t>
      </w:r>
      <w:proofErr w:type="gramEnd"/>
      <w:r w:rsidR="00442BFE" w:rsidRPr="003463B8">
        <w:t>.</w:t>
      </w:r>
    </w:p>
    <w:p w14:paraId="4F040B25" w14:textId="77777777" w:rsidR="008173CA" w:rsidRPr="008173CA" w:rsidRDefault="009D47B4" w:rsidP="008173CA">
      <w:pPr>
        <w:spacing w:line="480" w:lineRule="auto"/>
        <w:rPr>
          <w:b/>
        </w:rPr>
      </w:pPr>
      <w:r w:rsidRPr="00712DB2">
        <w:br w:type="page"/>
      </w:r>
      <w:r w:rsidR="008173CA" w:rsidRPr="008173CA">
        <w:rPr>
          <w:b/>
        </w:rPr>
        <w:t>DATA ACCESSIBILITY</w:t>
      </w:r>
    </w:p>
    <w:p w14:paraId="692C5930" w14:textId="77777777" w:rsidR="008173CA" w:rsidRDefault="00BF7F6B" w:rsidP="008173CA">
      <w:pPr>
        <w:spacing w:line="480" w:lineRule="auto"/>
      </w:pPr>
      <w:r>
        <w:t>All data used in this study</w:t>
      </w:r>
      <w:r w:rsidR="00594385">
        <w:t xml:space="preserve"> has been previously published as cited in the main text</w:t>
      </w:r>
      <w:r w:rsidR="0036231E">
        <w:t xml:space="preserve"> and are available in Supporting Information</w:t>
      </w:r>
      <w:r w:rsidR="00594385">
        <w:t xml:space="preserve">. </w:t>
      </w:r>
      <w:r>
        <w:t xml:space="preserve">Analyses were carried out in the R package </w:t>
      </w:r>
      <w:r w:rsidR="003A59AD">
        <w:t>“</w:t>
      </w:r>
      <w:proofErr w:type="spellStart"/>
      <w:r w:rsidR="003A59AD">
        <w:t>meteR</w:t>
      </w:r>
      <w:proofErr w:type="spellEnd"/>
      <w:r w:rsidR="003A59AD">
        <w:t xml:space="preserve">” (Rominger and </w:t>
      </w:r>
      <w:proofErr w:type="spellStart"/>
      <w:r w:rsidR="003A59AD">
        <w:t>Merow</w:t>
      </w:r>
      <w:proofErr w:type="spellEnd"/>
      <w:r w:rsidR="003A59AD">
        <w:t xml:space="preserve"> 2016).</w:t>
      </w:r>
      <w:r>
        <w:t xml:space="preserve"> </w:t>
      </w:r>
    </w:p>
    <w:p w14:paraId="656682F7" w14:textId="77777777" w:rsidR="008173CA" w:rsidRDefault="008173CA" w:rsidP="008173CA">
      <w:pPr>
        <w:spacing w:line="480" w:lineRule="auto"/>
      </w:pPr>
    </w:p>
    <w:p w14:paraId="28BB3997" w14:textId="77777777" w:rsidR="008173CA" w:rsidRDefault="008173CA" w:rsidP="008173CA">
      <w:pPr>
        <w:spacing w:line="480" w:lineRule="auto"/>
      </w:pPr>
    </w:p>
    <w:p w14:paraId="319D1300" w14:textId="77777777" w:rsidR="008173CA" w:rsidRPr="006A3FEB" w:rsidRDefault="008173CA" w:rsidP="006A3FEB">
      <w:pPr>
        <w:spacing w:line="480" w:lineRule="auto"/>
        <w:rPr>
          <w:b/>
        </w:rPr>
      </w:pPr>
      <w:r>
        <w:br w:type="page"/>
      </w:r>
      <w:r w:rsidRPr="006A3FEB">
        <w:rPr>
          <w:b/>
        </w:rPr>
        <w:t>BIOSKETCH</w:t>
      </w:r>
    </w:p>
    <w:p w14:paraId="71EEA2DD" w14:textId="77777777" w:rsidR="00594385" w:rsidRDefault="00991108" w:rsidP="006A3FEB">
      <w:pPr>
        <w:spacing w:line="480" w:lineRule="auto"/>
      </w:pPr>
      <w:r w:rsidRPr="00594385">
        <w:rPr>
          <w:b/>
        </w:rPr>
        <w:t>John Harte</w:t>
      </w:r>
      <w:r w:rsidRPr="006A3FEB">
        <w:t xml:space="preserve"> is a professor in the Energy and Resources Group and the Department of Environmental Science, Policy and Management at the University of California, Berkeley. His research broadly spans topics of biodiversity, climate-ecosystem feedbacks, and applications of the Maximum Entropy Principle to ecology. </w:t>
      </w:r>
    </w:p>
    <w:p w14:paraId="6AEAFD81" w14:textId="77777777" w:rsidR="00594385" w:rsidRDefault="00991108" w:rsidP="006A3FEB">
      <w:pPr>
        <w:spacing w:line="480" w:lineRule="auto"/>
      </w:pPr>
      <w:r w:rsidRPr="00594385">
        <w:rPr>
          <w:b/>
        </w:rPr>
        <w:t>Erica A. Newman</w:t>
      </w:r>
      <w:r w:rsidRPr="006A3FEB">
        <w:t xml:space="preserve"> i</w:t>
      </w:r>
      <w:r w:rsidR="006A3FEB" w:rsidRPr="006A3FEB">
        <w:t>s postdoctoral researcher focusing on connections between disturbance ecology and biodiversity patterns, including applied topics in fire management</w:t>
      </w:r>
      <w:r w:rsidR="00EE1EF3">
        <w:t xml:space="preserve"> and disease ecology</w:t>
      </w:r>
      <w:r w:rsidR="006A3FEB" w:rsidRPr="006A3FEB">
        <w:t xml:space="preserve">. </w:t>
      </w:r>
    </w:p>
    <w:p w14:paraId="540C3C91" w14:textId="77777777" w:rsidR="00991108" w:rsidRPr="006A3FEB" w:rsidRDefault="006A3FEB" w:rsidP="006A3FEB">
      <w:pPr>
        <w:spacing w:line="480" w:lineRule="auto"/>
      </w:pPr>
      <w:r w:rsidRPr="00594385">
        <w:rPr>
          <w:b/>
        </w:rPr>
        <w:t>Andrew J. Rominger</w:t>
      </w:r>
      <w:r w:rsidRPr="006A3FEB">
        <w:t xml:space="preserve"> is a postdoctoral fellow studying island biogeography, and connections between ecological and evolutionary processes.</w:t>
      </w:r>
      <w:r w:rsidR="00A55633">
        <w:t xml:space="preserve"> </w:t>
      </w:r>
    </w:p>
    <w:p w14:paraId="747C6682" w14:textId="77777777" w:rsidR="00991108" w:rsidRPr="006A3FEB" w:rsidRDefault="00991108" w:rsidP="006A3FEB">
      <w:pPr>
        <w:spacing w:line="480" w:lineRule="auto"/>
      </w:pPr>
    </w:p>
    <w:p w14:paraId="63756F47" w14:textId="77777777" w:rsidR="00991108" w:rsidRPr="006A3FEB" w:rsidRDefault="00991108" w:rsidP="006A3FEB">
      <w:pPr>
        <w:spacing w:line="480" w:lineRule="auto"/>
      </w:pPr>
    </w:p>
    <w:p w14:paraId="2B3ADFEB" w14:textId="77777777" w:rsidR="008173CA" w:rsidRDefault="008173CA" w:rsidP="00991108"/>
    <w:p w14:paraId="0CAD0E25" w14:textId="77777777" w:rsidR="00BF7F6B" w:rsidRDefault="00BF7F6B" w:rsidP="00BF7F6B">
      <w:pPr>
        <w:spacing w:line="480" w:lineRule="auto"/>
        <w:rPr>
          <w:b/>
        </w:rPr>
      </w:pPr>
      <w:r>
        <w:rPr>
          <w:b/>
        </w:rPr>
        <w:br w:type="page"/>
      </w:r>
    </w:p>
    <w:p w14:paraId="660457C3" w14:textId="77777777" w:rsidR="009D47B4" w:rsidRPr="008173CA" w:rsidRDefault="00BF7F6B" w:rsidP="00BF7F6B">
      <w:pPr>
        <w:spacing w:line="480" w:lineRule="auto"/>
      </w:pPr>
      <w:r>
        <w:rPr>
          <w:b/>
        </w:rPr>
        <w:t>REFERENCES</w:t>
      </w:r>
    </w:p>
    <w:p w14:paraId="4FA7C821" w14:textId="77777777" w:rsidR="009D47B4" w:rsidRPr="00712DB2" w:rsidRDefault="009D47B4" w:rsidP="00BF7F6B">
      <w:pPr>
        <w:spacing w:line="480" w:lineRule="auto"/>
        <w:rPr>
          <w:b/>
        </w:rPr>
      </w:pPr>
    </w:p>
    <w:p w14:paraId="72B5703A" w14:textId="77777777" w:rsidR="009D47B4" w:rsidRPr="00712DB2" w:rsidRDefault="009D47B4" w:rsidP="00BF7F6B">
      <w:pPr>
        <w:spacing w:line="480" w:lineRule="auto"/>
      </w:pPr>
      <w:proofErr w:type="gramStart"/>
      <w:r w:rsidRPr="00712DB2">
        <w:t xml:space="preserve">Brown, J. </w:t>
      </w:r>
      <w:r w:rsidR="003A59AD">
        <w:t xml:space="preserve">&amp; </w:t>
      </w:r>
      <w:r w:rsidRPr="00712DB2">
        <w:t xml:space="preserve">Maurer, B. </w:t>
      </w:r>
      <w:r w:rsidR="003A59AD">
        <w:t>(</w:t>
      </w:r>
      <w:r w:rsidRPr="00712DB2">
        <w:t>1986</w:t>
      </w:r>
      <w:r w:rsidR="003A59AD">
        <w:t>)</w:t>
      </w:r>
      <w:r w:rsidR="001F6B20">
        <w:t xml:space="preserve"> </w:t>
      </w:r>
      <w:r w:rsidRPr="00712DB2">
        <w:t>Body size, ecological dominance and Cope’s Rule.</w:t>
      </w:r>
      <w:proofErr w:type="gramEnd"/>
      <w:r w:rsidR="001F6B20">
        <w:t xml:space="preserve"> </w:t>
      </w:r>
      <w:proofErr w:type="gramStart"/>
      <w:r w:rsidRPr="00712DB2">
        <w:rPr>
          <w:i/>
        </w:rPr>
        <w:t>Nature</w:t>
      </w:r>
      <w:r w:rsidR="003B7728">
        <w:t>,</w:t>
      </w:r>
      <w:r w:rsidRPr="00712DB2">
        <w:t xml:space="preserve"> </w:t>
      </w:r>
      <w:r w:rsidRPr="00712DB2">
        <w:rPr>
          <w:b/>
        </w:rPr>
        <w:t>324</w:t>
      </w:r>
      <w:r w:rsidRPr="00712DB2">
        <w:t>, 248-250.</w:t>
      </w:r>
      <w:proofErr w:type="gramEnd"/>
    </w:p>
    <w:p w14:paraId="359F63E5" w14:textId="77777777" w:rsidR="009D47B4" w:rsidRPr="00712DB2" w:rsidRDefault="009D47B4" w:rsidP="00712DB2">
      <w:pPr>
        <w:spacing w:line="480" w:lineRule="auto"/>
      </w:pPr>
    </w:p>
    <w:p w14:paraId="3EC827BA" w14:textId="77777777" w:rsidR="009D47B4" w:rsidRPr="00712DB2" w:rsidRDefault="009D47B4" w:rsidP="00712DB2">
      <w:pPr>
        <w:spacing w:line="480" w:lineRule="auto"/>
      </w:pPr>
      <w:proofErr w:type="spellStart"/>
      <w:r w:rsidRPr="00712DB2">
        <w:t>Clauset</w:t>
      </w:r>
      <w:proofErr w:type="spellEnd"/>
      <w:r w:rsidRPr="00712DB2">
        <w:t xml:space="preserve">, A. </w:t>
      </w:r>
      <w:r w:rsidR="003A59AD">
        <w:t xml:space="preserve">&amp; </w:t>
      </w:r>
      <w:r w:rsidRPr="00712DB2">
        <w:t xml:space="preserve">Erwin, D. </w:t>
      </w:r>
      <w:r w:rsidR="003A59AD">
        <w:t>(</w:t>
      </w:r>
      <w:r w:rsidRPr="00712DB2">
        <w:t>2008</w:t>
      </w:r>
      <w:r w:rsidR="003A59AD">
        <w:t>)</w:t>
      </w:r>
      <w:r w:rsidR="001F6B20">
        <w:t xml:space="preserve"> </w:t>
      </w:r>
      <w:r w:rsidRPr="00712DB2">
        <w:t>The evolution and distribution of species body size.</w:t>
      </w:r>
      <w:r w:rsidR="001F6B20">
        <w:t xml:space="preserve"> </w:t>
      </w:r>
      <w:proofErr w:type="gramStart"/>
      <w:r w:rsidRPr="00712DB2">
        <w:rPr>
          <w:i/>
        </w:rPr>
        <w:t>Science</w:t>
      </w:r>
      <w:r w:rsidR="003B7728">
        <w:t>,</w:t>
      </w:r>
      <w:r w:rsidRPr="00712DB2">
        <w:t xml:space="preserve"> </w:t>
      </w:r>
      <w:r w:rsidRPr="00712DB2">
        <w:rPr>
          <w:b/>
        </w:rPr>
        <w:t>321</w:t>
      </w:r>
      <w:r w:rsidRPr="00712DB2">
        <w:t>, 399-401.</w:t>
      </w:r>
      <w:proofErr w:type="gramEnd"/>
    </w:p>
    <w:p w14:paraId="1FA8D4C0" w14:textId="77777777" w:rsidR="009D47B4" w:rsidRPr="00712DB2" w:rsidRDefault="009D47B4" w:rsidP="00712DB2">
      <w:pPr>
        <w:spacing w:line="480" w:lineRule="auto"/>
      </w:pPr>
    </w:p>
    <w:p w14:paraId="2AF69CD9" w14:textId="77777777" w:rsidR="009D47B4" w:rsidRPr="00712DB2" w:rsidRDefault="003A59AD" w:rsidP="00712DB2">
      <w:pPr>
        <w:spacing w:line="480" w:lineRule="auto"/>
      </w:pPr>
      <w:proofErr w:type="spellStart"/>
      <w:proofErr w:type="gramStart"/>
      <w:r>
        <w:t>Clauset</w:t>
      </w:r>
      <w:proofErr w:type="spellEnd"/>
      <w:r>
        <w:t xml:space="preserve">, A. &amp; </w:t>
      </w:r>
      <w:proofErr w:type="spellStart"/>
      <w:r>
        <w:t>Redner</w:t>
      </w:r>
      <w:proofErr w:type="spellEnd"/>
      <w:r>
        <w:t>, S.</w:t>
      </w:r>
      <w:r w:rsidR="009D47B4" w:rsidRPr="00712DB2">
        <w:t xml:space="preserve"> </w:t>
      </w:r>
      <w:r>
        <w:t>(</w:t>
      </w:r>
      <w:r w:rsidR="009D47B4" w:rsidRPr="00712DB2">
        <w:t>2009</w:t>
      </w:r>
      <w:r>
        <w:t>)</w:t>
      </w:r>
      <w:r w:rsidR="001F6B20">
        <w:t xml:space="preserve"> </w:t>
      </w:r>
      <w:r w:rsidR="009D47B4" w:rsidRPr="00712DB2">
        <w:t>Evolutionary model of species body mass diversification.</w:t>
      </w:r>
      <w:proofErr w:type="gramEnd"/>
      <w:r w:rsidR="001F6B20">
        <w:t xml:space="preserve"> </w:t>
      </w:r>
      <w:proofErr w:type="gramStart"/>
      <w:r w:rsidR="009D47B4" w:rsidRPr="00712DB2">
        <w:rPr>
          <w:i/>
        </w:rPr>
        <w:t>Physical Review Letters</w:t>
      </w:r>
      <w:r w:rsidR="003B7728">
        <w:t>,</w:t>
      </w:r>
      <w:r w:rsidR="009D47B4" w:rsidRPr="00712DB2">
        <w:t xml:space="preserve"> </w:t>
      </w:r>
      <w:r w:rsidR="009D47B4" w:rsidRPr="00712DB2">
        <w:rPr>
          <w:b/>
        </w:rPr>
        <w:t>102</w:t>
      </w:r>
      <w:r w:rsidR="009D47B4" w:rsidRPr="00712DB2">
        <w:t>, 038103.</w:t>
      </w:r>
      <w:proofErr w:type="gramEnd"/>
    </w:p>
    <w:p w14:paraId="51EBF52A" w14:textId="77777777" w:rsidR="00594385" w:rsidRPr="00594385" w:rsidRDefault="00594385" w:rsidP="00594385">
      <w:pPr>
        <w:spacing w:line="480" w:lineRule="auto"/>
      </w:pPr>
    </w:p>
    <w:p w14:paraId="64293F45" w14:textId="77777777" w:rsidR="00594385" w:rsidRPr="00594385" w:rsidRDefault="00594385" w:rsidP="00594385">
      <w:pPr>
        <w:spacing w:line="480" w:lineRule="auto"/>
      </w:pPr>
      <w:proofErr w:type="spellStart"/>
      <w:proofErr w:type="gramStart"/>
      <w:r>
        <w:t>Enquist</w:t>
      </w:r>
      <w:proofErr w:type="spellEnd"/>
      <w:r>
        <w:t xml:space="preserve">, B.J. &amp; </w:t>
      </w:r>
      <w:proofErr w:type="spellStart"/>
      <w:r>
        <w:t>Niklas</w:t>
      </w:r>
      <w:proofErr w:type="spellEnd"/>
      <w:r>
        <w:t>, K.J.</w:t>
      </w:r>
      <w:r w:rsidRPr="00594385">
        <w:t xml:space="preserve"> </w:t>
      </w:r>
      <w:r>
        <w:t>(2001)</w:t>
      </w:r>
      <w:r w:rsidRPr="00594385">
        <w:t xml:space="preserve"> Invariant scaling relations across tree-dominated communities.</w:t>
      </w:r>
      <w:proofErr w:type="gramEnd"/>
      <w:r>
        <w:t xml:space="preserve"> </w:t>
      </w:r>
      <w:proofErr w:type="gramStart"/>
      <w:r w:rsidRPr="00594385">
        <w:rPr>
          <w:i/>
        </w:rPr>
        <w:t>Nature</w:t>
      </w:r>
      <w:r w:rsidR="003B7728">
        <w:t>,</w:t>
      </w:r>
      <w:r>
        <w:t xml:space="preserve"> </w:t>
      </w:r>
      <w:r w:rsidRPr="00594385">
        <w:rPr>
          <w:b/>
        </w:rPr>
        <w:t>410</w:t>
      </w:r>
      <w:r>
        <w:t xml:space="preserve">, </w:t>
      </w:r>
      <w:r w:rsidRPr="00594385">
        <w:t>655-660.</w:t>
      </w:r>
      <w:proofErr w:type="gramEnd"/>
    </w:p>
    <w:p w14:paraId="1D6D334E" w14:textId="77777777" w:rsidR="009D47B4" w:rsidRPr="00594385" w:rsidRDefault="009D47B4" w:rsidP="00594385">
      <w:pPr>
        <w:spacing w:line="480" w:lineRule="auto"/>
      </w:pPr>
    </w:p>
    <w:p w14:paraId="0155E6C5" w14:textId="77777777" w:rsidR="009D47B4" w:rsidRPr="001B5259" w:rsidRDefault="009D47B4" w:rsidP="001B5259">
      <w:pPr>
        <w:spacing w:line="480" w:lineRule="auto"/>
      </w:pPr>
      <w:proofErr w:type="spellStart"/>
      <w:r w:rsidRPr="00712DB2">
        <w:t>Farrior</w:t>
      </w:r>
      <w:proofErr w:type="spellEnd"/>
      <w:r w:rsidRPr="00712DB2">
        <w:t xml:space="preserve">, C., </w:t>
      </w:r>
      <w:proofErr w:type="spellStart"/>
      <w:r w:rsidRPr="00712DB2">
        <w:t>Bohlman</w:t>
      </w:r>
      <w:proofErr w:type="spellEnd"/>
      <w:r w:rsidRPr="00712DB2">
        <w:t xml:space="preserve">, S., Hubbell, S. </w:t>
      </w:r>
      <w:r w:rsidR="003A59AD">
        <w:t xml:space="preserve">&amp; </w:t>
      </w:r>
      <w:proofErr w:type="spellStart"/>
      <w:r w:rsidRPr="00712DB2">
        <w:t>Pacala</w:t>
      </w:r>
      <w:proofErr w:type="spellEnd"/>
      <w:r w:rsidRPr="00712DB2">
        <w:t xml:space="preserve">, </w:t>
      </w:r>
      <w:r w:rsidRPr="001B5259">
        <w:t>S.</w:t>
      </w:r>
      <w:r w:rsidR="001F6B20" w:rsidRPr="001B5259">
        <w:t xml:space="preserve"> </w:t>
      </w:r>
      <w:r w:rsidR="003A59AD" w:rsidRPr="001B5259">
        <w:t>(</w:t>
      </w:r>
      <w:r w:rsidRPr="001B5259">
        <w:t>2016</w:t>
      </w:r>
      <w:r w:rsidR="003A59AD" w:rsidRPr="001B5259">
        <w:t>)</w:t>
      </w:r>
      <w:r w:rsidRPr="001B5259">
        <w:t xml:space="preserve"> </w:t>
      </w:r>
      <w:r w:rsidR="001B5259" w:rsidRPr="001B5259">
        <w:t xml:space="preserve">Dominance of the suppressed: Power-law size structure in tropical forests. </w:t>
      </w:r>
      <w:proofErr w:type="gramStart"/>
      <w:r w:rsidRPr="00712DB2">
        <w:rPr>
          <w:i/>
        </w:rPr>
        <w:t>Science</w:t>
      </w:r>
      <w:r w:rsidR="003B7728">
        <w:t>,</w:t>
      </w:r>
      <w:r w:rsidRPr="00712DB2">
        <w:rPr>
          <w:i/>
        </w:rPr>
        <w:t xml:space="preserve"> </w:t>
      </w:r>
      <w:r w:rsidRPr="00712DB2">
        <w:rPr>
          <w:b/>
        </w:rPr>
        <w:t>351</w:t>
      </w:r>
      <w:r w:rsidRPr="00712DB2">
        <w:t>, 155-157.</w:t>
      </w:r>
      <w:proofErr w:type="gramEnd"/>
    </w:p>
    <w:p w14:paraId="5782C638" w14:textId="77777777" w:rsidR="009D47B4" w:rsidRPr="00712DB2" w:rsidRDefault="009D47B4" w:rsidP="00712DB2">
      <w:pPr>
        <w:spacing w:line="480" w:lineRule="auto"/>
      </w:pPr>
    </w:p>
    <w:p w14:paraId="4EFB2417" w14:textId="77777777" w:rsidR="009D47B4" w:rsidRPr="00712DB2" w:rsidRDefault="003A59AD" w:rsidP="00712DB2">
      <w:pPr>
        <w:spacing w:line="480" w:lineRule="auto"/>
      </w:pPr>
      <w:proofErr w:type="gramStart"/>
      <w:r>
        <w:t>Gaston, K. &amp; Blackburn, T. (</w:t>
      </w:r>
      <w:r w:rsidR="009D47B4" w:rsidRPr="00712DB2">
        <w:t>2000</w:t>
      </w:r>
      <w:r>
        <w:t>)</w:t>
      </w:r>
      <w:r w:rsidR="001F6B20">
        <w:t xml:space="preserve"> </w:t>
      </w:r>
      <w:r w:rsidR="009D47B4" w:rsidRPr="00712DB2">
        <w:rPr>
          <w:i/>
        </w:rPr>
        <w:t>Pattern and Process in Macroecology</w:t>
      </w:r>
      <w:r w:rsidR="009D47B4" w:rsidRPr="00712DB2">
        <w:t>.</w:t>
      </w:r>
      <w:proofErr w:type="gramEnd"/>
      <w:r w:rsidR="001F6B20">
        <w:t xml:space="preserve"> </w:t>
      </w:r>
      <w:proofErr w:type="gramStart"/>
      <w:r w:rsidR="009D47B4" w:rsidRPr="00712DB2">
        <w:t>Blackwell Scientific, Oxford, UK.</w:t>
      </w:r>
      <w:proofErr w:type="gramEnd"/>
      <w:r w:rsidR="001F6B20">
        <w:t xml:space="preserve"> </w:t>
      </w:r>
    </w:p>
    <w:p w14:paraId="13A4722E" w14:textId="77777777" w:rsidR="00F01E3E" w:rsidRDefault="00F01E3E" w:rsidP="00712DB2">
      <w:pPr>
        <w:spacing w:line="480" w:lineRule="auto"/>
      </w:pPr>
    </w:p>
    <w:p w14:paraId="26BD10CD" w14:textId="77777777" w:rsidR="00F01E3E" w:rsidRDefault="003A59AD" w:rsidP="00712DB2">
      <w:pPr>
        <w:spacing w:line="480" w:lineRule="auto"/>
      </w:pPr>
      <w:proofErr w:type="spellStart"/>
      <w:proofErr w:type="gramStart"/>
      <w:r>
        <w:t>Gruner</w:t>
      </w:r>
      <w:proofErr w:type="spellEnd"/>
      <w:r>
        <w:t>, D.</w:t>
      </w:r>
      <w:r w:rsidR="00F01E3E">
        <w:t xml:space="preserve">S. </w:t>
      </w:r>
      <w:r>
        <w:t>(</w:t>
      </w:r>
      <w:r w:rsidR="00F01E3E">
        <w:t>2007</w:t>
      </w:r>
      <w:r>
        <w:t>)</w:t>
      </w:r>
      <w:r w:rsidR="00F01E3E" w:rsidRPr="00F01E3E">
        <w:t xml:space="preserve"> Geological age, ecosystem development, and local resource constraints on arthropod community structure in the Hawaiian Islands.</w:t>
      </w:r>
      <w:proofErr w:type="gramEnd"/>
      <w:r w:rsidR="00F01E3E">
        <w:t xml:space="preserve"> </w:t>
      </w:r>
      <w:proofErr w:type="gramStart"/>
      <w:r w:rsidR="00F01E3E" w:rsidRPr="00F01E3E">
        <w:rPr>
          <w:i/>
        </w:rPr>
        <w:t xml:space="preserve">Biological Journal of the </w:t>
      </w:r>
      <w:proofErr w:type="spellStart"/>
      <w:r w:rsidR="00F01E3E" w:rsidRPr="00F01E3E">
        <w:rPr>
          <w:i/>
        </w:rPr>
        <w:t>Linnean</w:t>
      </w:r>
      <w:proofErr w:type="spellEnd"/>
      <w:r w:rsidR="00F01E3E" w:rsidRPr="00F01E3E">
        <w:rPr>
          <w:i/>
        </w:rPr>
        <w:t xml:space="preserve"> Society</w:t>
      </w:r>
      <w:r w:rsidR="003B7728">
        <w:t>,</w:t>
      </w:r>
      <w:r w:rsidR="00F01E3E">
        <w:t xml:space="preserve"> </w:t>
      </w:r>
      <w:r w:rsidR="00F01E3E" w:rsidRPr="00F01E3E">
        <w:rPr>
          <w:b/>
        </w:rPr>
        <w:t>90</w:t>
      </w:r>
      <w:r w:rsidR="00F01E3E" w:rsidRPr="00F01E3E">
        <w:t>, 551-570.</w:t>
      </w:r>
      <w:proofErr w:type="gramEnd"/>
    </w:p>
    <w:p w14:paraId="3E3A43E4" w14:textId="77777777" w:rsidR="009D47B4" w:rsidRPr="00712DB2" w:rsidRDefault="009D47B4" w:rsidP="00712DB2">
      <w:pPr>
        <w:spacing w:line="480" w:lineRule="auto"/>
      </w:pPr>
    </w:p>
    <w:p w14:paraId="5C4B5D3D" w14:textId="77777777" w:rsidR="009D47B4" w:rsidRPr="00712DB2" w:rsidRDefault="009D47B4" w:rsidP="00712DB2">
      <w:pPr>
        <w:autoSpaceDE w:val="0"/>
        <w:autoSpaceDN w:val="0"/>
        <w:adjustRightInd w:val="0"/>
        <w:spacing w:line="480" w:lineRule="auto"/>
        <w:rPr>
          <w:rFonts w:eastAsia="Times New Roman" w:cs="Times New Roman"/>
        </w:rPr>
      </w:pPr>
      <w:proofErr w:type="gramStart"/>
      <w:r w:rsidRPr="00712DB2">
        <w:rPr>
          <w:rFonts w:eastAsia="Times New Roman" w:cs="Times New Roman"/>
        </w:rPr>
        <w:t xml:space="preserve">Harte, J., </w:t>
      </w:r>
      <w:proofErr w:type="spellStart"/>
      <w:r w:rsidRPr="00712DB2">
        <w:rPr>
          <w:rFonts w:eastAsia="Times New Roman" w:cs="Times New Roman"/>
        </w:rPr>
        <w:t>Zillio</w:t>
      </w:r>
      <w:proofErr w:type="spellEnd"/>
      <w:r w:rsidRPr="00712DB2">
        <w:rPr>
          <w:rFonts w:eastAsia="Times New Roman" w:cs="Times New Roman"/>
        </w:rPr>
        <w:t xml:space="preserve">, T., </w:t>
      </w:r>
      <w:proofErr w:type="spellStart"/>
      <w:r w:rsidRPr="00712DB2">
        <w:rPr>
          <w:rFonts w:eastAsia="Times New Roman" w:cs="Times New Roman"/>
        </w:rPr>
        <w:t>Conlisk</w:t>
      </w:r>
      <w:proofErr w:type="spellEnd"/>
      <w:r w:rsidRPr="00712DB2">
        <w:rPr>
          <w:rFonts w:eastAsia="Times New Roman" w:cs="Times New Roman"/>
        </w:rPr>
        <w:t xml:space="preserve">, E. </w:t>
      </w:r>
      <w:r w:rsidR="003A59AD">
        <w:t xml:space="preserve">&amp; </w:t>
      </w:r>
      <w:r w:rsidRPr="00712DB2">
        <w:rPr>
          <w:rFonts w:eastAsia="Times New Roman" w:cs="Times New Roman"/>
        </w:rPr>
        <w:t xml:space="preserve">Smith, A.B. </w:t>
      </w:r>
      <w:r w:rsidR="003A59AD">
        <w:rPr>
          <w:rFonts w:eastAsia="Times New Roman" w:cs="Times New Roman"/>
        </w:rPr>
        <w:t>(</w:t>
      </w:r>
      <w:r w:rsidRPr="00712DB2">
        <w:rPr>
          <w:rFonts w:eastAsia="Times New Roman" w:cs="Times New Roman"/>
        </w:rPr>
        <w:t>2008</w:t>
      </w:r>
      <w:r w:rsidR="003A59AD">
        <w:rPr>
          <w:rFonts w:eastAsia="Times New Roman" w:cs="Times New Roman"/>
        </w:rPr>
        <w:t>)</w:t>
      </w:r>
      <w:r w:rsidRPr="00712DB2">
        <w:rPr>
          <w:rFonts w:eastAsia="Times New Roman" w:cs="Times New Roman"/>
        </w:rPr>
        <w:t xml:space="preserve"> Maximum entropy and the state variable approach to macroecology.</w:t>
      </w:r>
      <w:proofErr w:type="gramEnd"/>
      <w:r w:rsidRPr="00712DB2">
        <w:rPr>
          <w:rFonts w:eastAsia="Times New Roman" w:cs="Times New Roman"/>
        </w:rPr>
        <w:t xml:space="preserve"> </w:t>
      </w:r>
      <w:r w:rsidRPr="00712DB2">
        <w:rPr>
          <w:rFonts w:eastAsia="Times New Roman" w:cs="Times New Roman"/>
          <w:i/>
        </w:rPr>
        <w:t>Ecology</w:t>
      </w:r>
      <w:r w:rsidR="003B7728">
        <w:rPr>
          <w:rFonts w:eastAsia="Times New Roman" w:cs="Times New Roman"/>
        </w:rPr>
        <w:t>,</w:t>
      </w:r>
      <w:r w:rsidRPr="00712DB2">
        <w:rPr>
          <w:rFonts w:eastAsia="Times New Roman" w:cs="Times New Roman"/>
        </w:rPr>
        <w:t xml:space="preserve"> </w:t>
      </w:r>
      <w:r w:rsidRPr="00712DB2">
        <w:rPr>
          <w:rFonts w:eastAsia="Times New Roman" w:cs="Times New Roman"/>
          <w:b/>
        </w:rPr>
        <w:t>89</w:t>
      </w:r>
      <w:r w:rsidRPr="00712DB2">
        <w:rPr>
          <w:rFonts w:eastAsia="Times New Roman" w:cs="Times New Roman"/>
        </w:rPr>
        <w:t>, 2700–2711.</w:t>
      </w:r>
    </w:p>
    <w:p w14:paraId="5244DE14" w14:textId="77777777" w:rsidR="009D47B4" w:rsidRPr="00712DB2" w:rsidRDefault="009D47B4" w:rsidP="00712DB2">
      <w:pPr>
        <w:autoSpaceDE w:val="0"/>
        <w:autoSpaceDN w:val="0"/>
        <w:adjustRightInd w:val="0"/>
        <w:spacing w:line="480" w:lineRule="auto"/>
        <w:rPr>
          <w:rFonts w:eastAsia="Times New Roman" w:cs="Times New Roman"/>
        </w:rPr>
      </w:pPr>
    </w:p>
    <w:p w14:paraId="370874D7" w14:textId="77777777" w:rsidR="009D47B4" w:rsidRPr="00712DB2" w:rsidRDefault="009D47B4" w:rsidP="00712DB2">
      <w:pPr>
        <w:spacing w:line="480" w:lineRule="auto"/>
        <w:rPr>
          <w:rFonts w:cs="Times New Roman"/>
        </w:rPr>
      </w:pPr>
      <w:proofErr w:type="gramStart"/>
      <w:r w:rsidRPr="00712DB2">
        <w:rPr>
          <w:rFonts w:cs="Times New Roman"/>
        </w:rPr>
        <w:t>H</w:t>
      </w:r>
      <w:r w:rsidR="00BF7F6B">
        <w:rPr>
          <w:rFonts w:cs="Times New Roman"/>
        </w:rPr>
        <w:t xml:space="preserve">arte, J., Smith, A. </w:t>
      </w:r>
      <w:r w:rsidR="003A59AD">
        <w:t xml:space="preserve">&amp; </w:t>
      </w:r>
      <w:proofErr w:type="spellStart"/>
      <w:r w:rsidR="00BF7F6B">
        <w:rPr>
          <w:rFonts w:cs="Times New Roman"/>
        </w:rPr>
        <w:t>Storch</w:t>
      </w:r>
      <w:proofErr w:type="spellEnd"/>
      <w:r w:rsidR="00BF7F6B">
        <w:rPr>
          <w:rFonts w:cs="Times New Roman"/>
        </w:rPr>
        <w:t>, D.</w:t>
      </w:r>
      <w:r w:rsidR="003A59AD">
        <w:rPr>
          <w:rFonts w:cs="Times New Roman"/>
        </w:rPr>
        <w:t xml:space="preserve"> </w:t>
      </w:r>
      <w:r w:rsidR="00BF7F6B">
        <w:rPr>
          <w:rFonts w:cs="Times New Roman"/>
        </w:rPr>
        <w:t>(</w:t>
      </w:r>
      <w:r w:rsidRPr="00712DB2">
        <w:rPr>
          <w:rFonts w:cs="Times New Roman"/>
        </w:rPr>
        <w:t>2009</w:t>
      </w:r>
      <w:r w:rsidR="00BF7F6B">
        <w:rPr>
          <w:rFonts w:cs="Times New Roman"/>
        </w:rPr>
        <w:t>)</w:t>
      </w:r>
      <w:r w:rsidRPr="00712DB2">
        <w:rPr>
          <w:rFonts w:cs="Times New Roman"/>
        </w:rPr>
        <w:t xml:space="preserve"> Biodiversity scales from plots to biomes with a universal species-area curve.</w:t>
      </w:r>
      <w:proofErr w:type="gramEnd"/>
      <w:r w:rsidR="001F6B20">
        <w:rPr>
          <w:rFonts w:cs="Times New Roman"/>
        </w:rPr>
        <w:t xml:space="preserve"> </w:t>
      </w:r>
      <w:proofErr w:type="gramStart"/>
      <w:r w:rsidRPr="00712DB2">
        <w:rPr>
          <w:rFonts w:cs="Times New Roman"/>
          <w:i/>
        </w:rPr>
        <w:t>Ecology Letters</w:t>
      </w:r>
      <w:r w:rsidR="003B7728">
        <w:rPr>
          <w:rFonts w:cs="Times New Roman"/>
        </w:rPr>
        <w:t>,</w:t>
      </w:r>
      <w:r w:rsidRPr="00712DB2">
        <w:rPr>
          <w:rFonts w:cs="Times New Roman"/>
        </w:rPr>
        <w:t xml:space="preserve"> </w:t>
      </w:r>
      <w:r w:rsidRPr="00712DB2">
        <w:rPr>
          <w:rFonts w:cs="Times New Roman"/>
          <w:b/>
        </w:rPr>
        <w:t>12</w:t>
      </w:r>
      <w:r w:rsidRPr="00712DB2">
        <w:rPr>
          <w:rFonts w:cs="Times New Roman"/>
        </w:rPr>
        <w:t>, 789–797.</w:t>
      </w:r>
      <w:proofErr w:type="gramEnd"/>
    </w:p>
    <w:p w14:paraId="5A773232" w14:textId="77777777" w:rsidR="009D47B4" w:rsidRPr="00962439" w:rsidRDefault="009D47B4" w:rsidP="00476676">
      <w:pPr>
        <w:spacing w:line="480" w:lineRule="auto"/>
        <w:rPr>
          <w:rFonts w:cs="Times New Roman"/>
        </w:rPr>
      </w:pPr>
    </w:p>
    <w:p w14:paraId="29CD9D0E" w14:textId="77777777" w:rsidR="00476676" w:rsidRDefault="00697525" w:rsidP="00476676">
      <w:pPr>
        <w:spacing w:line="480" w:lineRule="auto"/>
        <w:rPr>
          <w:rFonts w:cs="Times New Roman"/>
        </w:rPr>
      </w:pPr>
      <w:r>
        <w:rPr>
          <w:rFonts w:cs="Times New Roman"/>
        </w:rPr>
        <w:t xml:space="preserve">Harte J. </w:t>
      </w:r>
      <w:r w:rsidR="003A59AD">
        <w:rPr>
          <w:rFonts w:cs="Times New Roman"/>
        </w:rPr>
        <w:t>(2011)</w:t>
      </w:r>
      <w:r w:rsidR="001F6B20" w:rsidRPr="00962439">
        <w:rPr>
          <w:rFonts w:cs="Times New Roman"/>
        </w:rPr>
        <w:t xml:space="preserve"> </w:t>
      </w:r>
      <w:r w:rsidR="009D47B4" w:rsidRPr="00962439">
        <w:rPr>
          <w:rFonts w:cs="Times New Roman"/>
          <w:i/>
        </w:rPr>
        <w:t>Maximum Entropy and Ecology: A Theory of Abundance, Distribution, and Energetics</w:t>
      </w:r>
      <w:r w:rsidR="009D47B4" w:rsidRPr="00962439">
        <w:rPr>
          <w:rFonts w:cs="Times New Roman"/>
        </w:rPr>
        <w:t>.</w:t>
      </w:r>
      <w:r w:rsidR="001F6B20" w:rsidRPr="00962439">
        <w:rPr>
          <w:rFonts w:cs="Times New Roman"/>
        </w:rPr>
        <w:t xml:space="preserve"> </w:t>
      </w:r>
      <w:r w:rsidR="009D47B4" w:rsidRPr="00962439">
        <w:rPr>
          <w:rFonts w:cs="Times New Roman"/>
        </w:rPr>
        <w:t>Oxford Univ. Press, Oxford, UK.</w:t>
      </w:r>
    </w:p>
    <w:p w14:paraId="500EE359" w14:textId="77777777" w:rsidR="00476676" w:rsidRDefault="00476676" w:rsidP="00476676">
      <w:pPr>
        <w:spacing w:line="480" w:lineRule="auto"/>
        <w:rPr>
          <w:rFonts w:cs="Times New Roman"/>
        </w:rPr>
      </w:pPr>
    </w:p>
    <w:p w14:paraId="6634AF30" w14:textId="77777777" w:rsidR="009D47B4" w:rsidRPr="00476676" w:rsidRDefault="009D47B4" w:rsidP="00476676">
      <w:pPr>
        <w:spacing w:line="480" w:lineRule="auto"/>
        <w:rPr>
          <w:rFonts w:cs="Times New Roman"/>
        </w:rPr>
      </w:pPr>
      <w:proofErr w:type="gramStart"/>
      <w:r w:rsidRPr="00962439">
        <w:rPr>
          <w:rFonts w:eastAsia="Times New Roman" w:cs="Times New Roman"/>
        </w:rPr>
        <w:t xml:space="preserve">Harte, J. </w:t>
      </w:r>
      <w:r w:rsidR="00697525">
        <w:t xml:space="preserve">&amp; </w:t>
      </w:r>
      <w:r w:rsidRPr="00962439">
        <w:rPr>
          <w:rFonts w:eastAsia="Times New Roman" w:cs="Times New Roman"/>
        </w:rPr>
        <w:t>Newman, E.</w:t>
      </w:r>
      <w:r w:rsidR="00685B60" w:rsidRPr="00962439">
        <w:rPr>
          <w:rFonts w:eastAsia="Times New Roman" w:cs="Times New Roman"/>
        </w:rPr>
        <w:t>A.</w:t>
      </w:r>
      <w:r w:rsidR="001F6B20" w:rsidRPr="00962439">
        <w:rPr>
          <w:rFonts w:eastAsia="Times New Roman" w:cs="Times New Roman"/>
        </w:rPr>
        <w:t xml:space="preserve"> </w:t>
      </w:r>
      <w:r w:rsidR="00697525">
        <w:rPr>
          <w:rFonts w:eastAsia="Times New Roman" w:cs="Times New Roman"/>
        </w:rPr>
        <w:t>(2014)</w:t>
      </w:r>
      <w:r w:rsidR="001F6B20" w:rsidRPr="00962439">
        <w:rPr>
          <w:rFonts w:eastAsia="Times New Roman" w:cs="Times New Roman"/>
        </w:rPr>
        <w:t xml:space="preserve"> </w:t>
      </w:r>
      <w:proofErr w:type="spellStart"/>
      <w:r w:rsidRPr="00962439">
        <w:rPr>
          <w:rFonts w:cs="Times New Roman"/>
          <w:lang w:val="pt-BR"/>
        </w:rPr>
        <w:t>Maximum</w:t>
      </w:r>
      <w:proofErr w:type="spellEnd"/>
      <w:r w:rsidRPr="00962439">
        <w:rPr>
          <w:rFonts w:cs="Times New Roman"/>
          <w:lang w:val="pt-BR"/>
        </w:rPr>
        <w:t xml:space="preserve"> </w:t>
      </w:r>
      <w:proofErr w:type="spellStart"/>
      <w:r w:rsidRPr="00962439">
        <w:rPr>
          <w:rFonts w:cs="Times New Roman"/>
          <w:lang w:val="pt-BR"/>
        </w:rPr>
        <w:t>entropy</w:t>
      </w:r>
      <w:proofErr w:type="spellEnd"/>
      <w:r w:rsidRPr="00962439">
        <w:rPr>
          <w:rFonts w:cs="Times New Roman"/>
          <w:lang w:val="pt-BR"/>
        </w:rPr>
        <w:t xml:space="preserve"> as a </w:t>
      </w:r>
      <w:proofErr w:type="spellStart"/>
      <w:r w:rsidRPr="00962439">
        <w:rPr>
          <w:rFonts w:cs="Times New Roman"/>
          <w:lang w:val="pt-BR"/>
        </w:rPr>
        <w:t>foundation</w:t>
      </w:r>
      <w:proofErr w:type="spellEnd"/>
      <w:r w:rsidRPr="00962439">
        <w:rPr>
          <w:rFonts w:cs="Times New Roman"/>
          <w:lang w:val="pt-BR"/>
        </w:rPr>
        <w:t xml:space="preserve"> for </w:t>
      </w:r>
      <w:proofErr w:type="spellStart"/>
      <w:r w:rsidRPr="00962439">
        <w:rPr>
          <w:rFonts w:cs="Times New Roman"/>
          <w:lang w:val="pt-BR"/>
        </w:rPr>
        <w:t>ecological</w:t>
      </w:r>
      <w:proofErr w:type="spellEnd"/>
      <w:r w:rsidRPr="00962439">
        <w:rPr>
          <w:rFonts w:cs="Times New Roman"/>
          <w:lang w:val="pt-BR"/>
        </w:rPr>
        <w:t xml:space="preserve"> </w:t>
      </w:r>
      <w:proofErr w:type="spellStart"/>
      <w:r w:rsidRPr="00962439">
        <w:rPr>
          <w:rFonts w:cs="Times New Roman"/>
          <w:lang w:val="pt-BR"/>
        </w:rPr>
        <w:t>theory</w:t>
      </w:r>
      <w:proofErr w:type="spellEnd"/>
      <w:r w:rsidRPr="00962439">
        <w:rPr>
          <w:rFonts w:cs="Times New Roman"/>
          <w:lang w:val="pt-BR"/>
        </w:rPr>
        <w:t>.</w:t>
      </w:r>
      <w:proofErr w:type="gramEnd"/>
      <w:r w:rsidR="001F6B20" w:rsidRPr="00962439">
        <w:rPr>
          <w:rFonts w:cs="Times New Roman"/>
          <w:lang w:val="pt-BR"/>
        </w:rPr>
        <w:t xml:space="preserve"> </w:t>
      </w:r>
      <w:proofErr w:type="spellStart"/>
      <w:r w:rsidRPr="00962439">
        <w:rPr>
          <w:rFonts w:cs="Times New Roman"/>
          <w:i/>
          <w:lang w:val="pt-BR"/>
        </w:rPr>
        <w:t>Trends</w:t>
      </w:r>
      <w:proofErr w:type="spellEnd"/>
      <w:r w:rsidRPr="00962439">
        <w:rPr>
          <w:rFonts w:cs="Times New Roman"/>
          <w:i/>
          <w:lang w:val="pt-BR"/>
        </w:rPr>
        <w:t xml:space="preserve"> in </w:t>
      </w:r>
      <w:proofErr w:type="spellStart"/>
      <w:r w:rsidRPr="00962439">
        <w:rPr>
          <w:rFonts w:cs="Times New Roman"/>
          <w:i/>
          <w:lang w:val="pt-BR"/>
        </w:rPr>
        <w:t>Ecology</w:t>
      </w:r>
      <w:proofErr w:type="spellEnd"/>
      <w:r w:rsidRPr="00962439">
        <w:rPr>
          <w:rFonts w:cs="Times New Roman"/>
          <w:i/>
          <w:lang w:val="pt-BR"/>
        </w:rPr>
        <w:t xml:space="preserve"> </w:t>
      </w:r>
      <w:proofErr w:type="spellStart"/>
      <w:r w:rsidRPr="00962439">
        <w:rPr>
          <w:rFonts w:cs="Times New Roman"/>
          <w:i/>
          <w:lang w:val="pt-BR"/>
        </w:rPr>
        <w:t>and</w:t>
      </w:r>
      <w:proofErr w:type="spellEnd"/>
      <w:r w:rsidRPr="00962439">
        <w:rPr>
          <w:rFonts w:cs="Times New Roman"/>
          <w:i/>
          <w:lang w:val="pt-BR"/>
        </w:rPr>
        <w:t xml:space="preserve"> </w:t>
      </w:r>
      <w:proofErr w:type="spellStart"/>
      <w:r w:rsidRPr="00962439">
        <w:rPr>
          <w:rFonts w:cs="Times New Roman"/>
          <w:i/>
          <w:lang w:val="pt-BR"/>
        </w:rPr>
        <w:t>Evolution</w:t>
      </w:r>
      <w:proofErr w:type="spellEnd"/>
      <w:r w:rsidR="003B7728">
        <w:rPr>
          <w:rFonts w:cs="Times New Roman"/>
          <w:lang w:val="pt-BR"/>
        </w:rPr>
        <w:t>,</w:t>
      </w:r>
      <w:r w:rsidRPr="00962439">
        <w:rPr>
          <w:rFonts w:cs="Times New Roman"/>
          <w:lang w:val="pt-BR"/>
        </w:rPr>
        <w:t xml:space="preserve"> </w:t>
      </w:r>
      <w:r w:rsidRPr="00962439">
        <w:rPr>
          <w:rFonts w:cs="Times New Roman"/>
          <w:b/>
          <w:lang w:val="pt-BR"/>
        </w:rPr>
        <w:t>29</w:t>
      </w:r>
      <w:r w:rsidRPr="00962439">
        <w:rPr>
          <w:rFonts w:cs="Times New Roman"/>
          <w:lang w:val="pt-BR"/>
        </w:rPr>
        <w:t>, 384-389.</w:t>
      </w:r>
    </w:p>
    <w:p w14:paraId="0E31A6D2" w14:textId="77777777" w:rsidR="009D47B4" w:rsidRPr="00962439" w:rsidRDefault="009D47B4" w:rsidP="00476676">
      <w:pPr>
        <w:spacing w:line="480" w:lineRule="auto"/>
        <w:rPr>
          <w:rFonts w:cs="Times New Roman"/>
        </w:rPr>
      </w:pPr>
    </w:p>
    <w:p w14:paraId="21D98CB9" w14:textId="77777777" w:rsidR="009D47B4" w:rsidRPr="00712DB2" w:rsidRDefault="009D47B4" w:rsidP="00712DB2">
      <w:pPr>
        <w:spacing w:line="480" w:lineRule="auto"/>
        <w:rPr>
          <w:rFonts w:cs="Times New Roman"/>
        </w:rPr>
      </w:pPr>
      <w:r w:rsidRPr="00962439">
        <w:rPr>
          <w:rFonts w:cs="Times New Roman"/>
        </w:rPr>
        <w:t>Harte, J.</w:t>
      </w:r>
      <w:r w:rsidR="001F6B20" w:rsidRPr="00962439">
        <w:rPr>
          <w:rFonts w:cs="Times New Roman"/>
        </w:rPr>
        <w:t xml:space="preserve"> </w:t>
      </w:r>
      <w:r w:rsidR="00697525">
        <w:rPr>
          <w:rFonts w:cs="Times New Roman"/>
        </w:rPr>
        <w:t>Rominger, A.</w:t>
      </w:r>
      <w:r w:rsidR="003B7728">
        <w:rPr>
          <w:rFonts w:cs="Times New Roman"/>
        </w:rPr>
        <w:t xml:space="preserve"> &amp;</w:t>
      </w:r>
      <w:r w:rsidR="00697525">
        <w:rPr>
          <w:rFonts w:cs="Times New Roman"/>
        </w:rPr>
        <w:t xml:space="preserve"> Zhang, Y.</w:t>
      </w:r>
      <w:r w:rsidRPr="00962439">
        <w:rPr>
          <w:rFonts w:cs="Times New Roman"/>
        </w:rPr>
        <w:t xml:space="preserve"> </w:t>
      </w:r>
      <w:r w:rsidR="00697525">
        <w:rPr>
          <w:rFonts w:cs="Times New Roman"/>
        </w:rPr>
        <w:t>(2015)</w:t>
      </w:r>
      <w:r w:rsidR="001F6B20" w:rsidRPr="00962439">
        <w:rPr>
          <w:rFonts w:cs="Times New Roman"/>
        </w:rPr>
        <w:t xml:space="preserve"> </w:t>
      </w:r>
      <w:proofErr w:type="gramStart"/>
      <w:r w:rsidRPr="00962439">
        <w:rPr>
          <w:rFonts w:cs="Times New Roman"/>
          <w:bCs/>
          <w:color w:val="141414"/>
        </w:rPr>
        <w:t>Extending</w:t>
      </w:r>
      <w:proofErr w:type="gramEnd"/>
      <w:r w:rsidRPr="00962439">
        <w:rPr>
          <w:rFonts w:cs="Times New Roman"/>
          <w:bCs/>
          <w:color w:val="141414"/>
        </w:rPr>
        <w:t xml:space="preserve"> the maximum entropy theory of ecology to</w:t>
      </w:r>
      <w:r w:rsidRPr="00712DB2">
        <w:rPr>
          <w:rFonts w:cs="Times New Roman"/>
          <w:bCs/>
          <w:color w:val="141414"/>
        </w:rPr>
        <w:t xml:space="preserve"> higher taxonomic levels. </w:t>
      </w:r>
      <w:proofErr w:type="gramStart"/>
      <w:r w:rsidRPr="00712DB2">
        <w:rPr>
          <w:rFonts w:cs="Times New Roman"/>
          <w:bCs/>
          <w:i/>
          <w:color w:val="141414"/>
        </w:rPr>
        <w:t>Ecology Letters</w:t>
      </w:r>
      <w:r w:rsidR="003B7728">
        <w:rPr>
          <w:rFonts w:cs="Times New Roman"/>
          <w:bCs/>
          <w:color w:val="141414"/>
        </w:rPr>
        <w:t>,</w:t>
      </w:r>
      <w:r w:rsidRPr="00712DB2">
        <w:rPr>
          <w:rFonts w:cs="Times New Roman"/>
          <w:bCs/>
          <w:color w:val="141414"/>
        </w:rPr>
        <w:t xml:space="preserve"> </w:t>
      </w:r>
      <w:r w:rsidRPr="00712DB2">
        <w:rPr>
          <w:rFonts w:cs="Times New Roman"/>
          <w:b/>
          <w:bCs/>
          <w:color w:val="141414"/>
        </w:rPr>
        <w:t>18</w:t>
      </w:r>
      <w:r w:rsidRPr="00712DB2">
        <w:rPr>
          <w:rFonts w:cs="Times New Roman"/>
          <w:bCs/>
          <w:color w:val="141414"/>
        </w:rPr>
        <w:t>, 1068-1077.</w:t>
      </w:r>
      <w:proofErr w:type="gramEnd"/>
    </w:p>
    <w:p w14:paraId="31F86528" w14:textId="77777777" w:rsidR="009D47B4" w:rsidRPr="00712DB2" w:rsidRDefault="009D47B4" w:rsidP="001B5259">
      <w:pPr>
        <w:spacing w:line="480" w:lineRule="auto"/>
      </w:pPr>
    </w:p>
    <w:p w14:paraId="214D821B" w14:textId="77777777" w:rsidR="009D47B4" w:rsidRPr="00712DB2" w:rsidRDefault="009D47B4" w:rsidP="001B5259">
      <w:pPr>
        <w:spacing w:line="480" w:lineRule="auto"/>
      </w:pPr>
      <w:proofErr w:type="gramStart"/>
      <w:r w:rsidRPr="00712DB2">
        <w:t>Hubbell, S.</w:t>
      </w:r>
      <w:r w:rsidR="00697525">
        <w:t>, Condit, R. &amp; Foster, R. (2005</w:t>
      </w:r>
      <w:r w:rsidR="00697525" w:rsidRPr="001B5259">
        <w:t>)</w:t>
      </w:r>
      <w:r w:rsidR="00476676" w:rsidRPr="001B5259">
        <w:t xml:space="preserve"> </w:t>
      </w:r>
      <w:r w:rsidR="001B5259" w:rsidRPr="001B5259">
        <w:t xml:space="preserve">Forest census plot on </w:t>
      </w:r>
      <w:proofErr w:type="spellStart"/>
      <w:r w:rsidR="001B5259" w:rsidRPr="001B5259">
        <w:t>Barro</w:t>
      </w:r>
      <w:proofErr w:type="spellEnd"/>
      <w:r w:rsidR="001B5259" w:rsidRPr="001B5259">
        <w:t xml:space="preserve"> Colorado Island.</w:t>
      </w:r>
      <w:proofErr w:type="gramEnd"/>
      <w:r w:rsidR="00C35026">
        <w:t xml:space="preserve"> </w:t>
      </w:r>
      <w:r w:rsidRPr="007C7183">
        <w:t>http://ctfs.arnarb.Harvard.edu/webatlas/datasets/bci</w:t>
      </w:r>
    </w:p>
    <w:p w14:paraId="3584FFBB" w14:textId="77777777" w:rsidR="009D47B4" w:rsidRPr="00712DB2" w:rsidRDefault="009D47B4" w:rsidP="00712DB2">
      <w:pPr>
        <w:spacing w:line="480" w:lineRule="auto"/>
      </w:pPr>
    </w:p>
    <w:p w14:paraId="4A536C12" w14:textId="77777777" w:rsidR="009D47B4" w:rsidRPr="00712DB2" w:rsidRDefault="009D47B4" w:rsidP="00712DB2">
      <w:pPr>
        <w:spacing w:line="480" w:lineRule="auto"/>
      </w:pPr>
      <w:proofErr w:type="gramStart"/>
      <w:r w:rsidRPr="00712DB2">
        <w:t>H</w:t>
      </w:r>
      <w:r w:rsidR="00697525">
        <w:t>utchinson, G. E. &amp; MacArthur, R.</w:t>
      </w:r>
      <w:r w:rsidRPr="00712DB2">
        <w:t xml:space="preserve"> </w:t>
      </w:r>
      <w:r w:rsidR="00697525">
        <w:t>(1959)</w:t>
      </w:r>
      <w:r w:rsidR="001F6B20">
        <w:t xml:space="preserve"> </w:t>
      </w:r>
      <w:r w:rsidRPr="00712DB2">
        <w:t>A theoretical ecological model of size distributions among species of animals.</w:t>
      </w:r>
      <w:proofErr w:type="gramEnd"/>
      <w:r w:rsidR="001F6B20">
        <w:t xml:space="preserve"> </w:t>
      </w:r>
      <w:proofErr w:type="gramStart"/>
      <w:r w:rsidRPr="00712DB2">
        <w:rPr>
          <w:i/>
        </w:rPr>
        <w:t>American Naturalist</w:t>
      </w:r>
      <w:r w:rsidR="003B7728">
        <w:t>,</w:t>
      </w:r>
      <w:r w:rsidRPr="00712DB2">
        <w:t xml:space="preserve"> </w:t>
      </w:r>
      <w:r w:rsidRPr="00712DB2">
        <w:rPr>
          <w:b/>
        </w:rPr>
        <w:t>93</w:t>
      </w:r>
      <w:r w:rsidRPr="00712DB2">
        <w:t>, 117-125.</w:t>
      </w:r>
      <w:proofErr w:type="gramEnd"/>
      <w:r w:rsidRPr="00712DB2">
        <w:t xml:space="preserve"> </w:t>
      </w:r>
    </w:p>
    <w:p w14:paraId="7D65BEC9" w14:textId="77777777" w:rsidR="009D47B4" w:rsidRPr="00712DB2" w:rsidRDefault="009D47B4" w:rsidP="00712DB2">
      <w:pPr>
        <w:spacing w:line="480" w:lineRule="auto"/>
      </w:pPr>
    </w:p>
    <w:p w14:paraId="43551377" w14:textId="77777777" w:rsidR="009D47B4" w:rsidRPr="00712DB2" w:rsidRDefault="00697525" w:rsidP="00712DB2">
      <w:pPr>
        <w:autoSpaceDE w:val="0"/>
        <w:autoSpaceDN w:val="0"/>
        <w:adjustRightInd w:val="0"/>
        <w:spacing w:line="480" w:lineRule="auto"/>
        <w:rPr>
          <w:rFonts w:cs="Times New Roman"/>
          <w:color w:val="000000"/>
        </w:rPr>
      </w:pPr>
      <w:proofErr w:type="spellStart"/>
      <w:proofErr w:type="gramStart"/>
      <w:r>
        <w:rPr>
          <w:rFonts w:cs="Times New Roman"/>
          <w:color w:val="000000"/>
        </w:rPr>
        <w:t>Jaynes</w:t>
      </w:r>
      <w:proofErr w:type="spellEnd"/>
      <w:r>
        <w:rPr>
          <w:rFonts w:cs="Times New Roman"/>
          <w:color w:val="000000"/>
        </w:rPr>
        <w:t>, E. (</w:t>
      </w:r>
      <w:r w:rsidR="009D47B4" w:rsidRPr="00712DB2">
        <w:rPr>
          <w:rFonts w:cs="Times New Roman"/>
          <w:color w:val="000000"/>
        </w:rPr>
        <w:t>1957</w:t>
      </w:r>
      <w:r>
        <w:rPr>
          <w:rFonts w:cs="Times New Roman"/>
          <w:color w:val="000000"/>
        </w:rPr>
        <w:t>)</w:t>
      </w:r>
      <w:r w:rsidR="009D47B4" w:rsidRPr="00712DB2">
        <w:rPr>
          <w:rFonts w:cs="Times New Roman"/>
          <w:color w:val="000000"/>
        </w:rPr>
        <w:t xml:space="preserve"> Information </w:t>
      </w:r>
      <w:r w:rsidR="001B5259">
        <w:rPr>
          <w:rFonts w:cs="Times New Roman"/>
          <w:color w:val="000000"/>
        </w:rPr>
        <w:t>t</w:t>
      </w:r>
      <w:r w:rsidR="009D47B4" w:rsidRPr="00712DB2">
        <w:rPr>
          <w:rFonts w:cs="Times New Roman"/>
          <w:color w:val="000000"/>
        </w:rPr>
        <w:t xml:space="preserve">heory and </w:t>
      </w:r>
      <w:r w:rsidR="001B5259">
        <w:rPr>
          <w:rFonts w:cs="Times New Roman"/>
          <w:color w:val="000000"/>
        </w:rPr>
        <w:t>s</w:t>
      </w:r>
      <w:r w:rsidR="009D47B4" w:rsidRPr="00712DB2">
        <w:rPr>
          <w:rFonts w:cs="Times New Roman"/>
          <w:color w:val="000000"/>
        </w:rPr>
        <w:t xml:space="preserve">tatistical </w:t>
      </w:r>
      <w:r w:rsidR="001B5259">
        <w:rPr>
          <w:rFonts w:cs="Times New Roman"/>
          <w:color w:val="000000"/>
        </w:rPr>
        <w:t>m</w:t>
      </w:r>
      <w:r w:rsidR="009D47B4" w:rsidRPr="00712DB2">
        <w:rPr>
          <w:rFonts w:cs="Times New Roman"/>
          <w:color w:val="000000"/>
        </w:rPr>
        <w:t>echanics.</w:t>
      </w:r>
      <w:proofErr w:type="gramEnd"/>
      <w:r w:rsidR="009D47B4" w:rsidRPr="00712DB2">
        <w:rPr>
          <w:rFonts w:cs="Times New Roman"/>
          <w:color w:val="000000"/>
        </w:rPr>
        <w:t xml:space="preserve"> </w:t>
      </w:r>
      <w:r w:rsidR="009D47B4" w:rsidRPr="00712DB2">
        <w:rPr>
          <w:rFonts w:cs="Times New Roman"/>
          <w:i/>
          <w:color w:val="000000"/>
        </w:rPr>
        <w:t>Physical Review</w:t>
      </w:r>
      <w:r w:rsidR="003B7728">
        <w:rPr>
          <w:rFonts w:cs="Times New Roman"/>
          <w:color w:val="000000"/>
        </w:rPr>
        <w:t>,</w:t>
      </w:r>
      <w:r w:rsidR="009D47B4" w:rsidRPr="00712DB2">
        <w:rPr>
          <w:rFonts w:cs="Times New Roman"/>
          <w:color w:val="000000"/>
        </w:rPr>
        <w:t xml:space="preserve"> </w:t>
      </w:r>
      <w:r w:rsidR="009D47B4" w:rsidRPr="00712DB2">
        <w:rPr>
          <w:rFonts w:cs="Times New Roman"/>
          <w:b/>
          <w:color w:val="000000"/>
        </w:rPr>
        <w:t>106</w:t>
      </w:r>
      <w:r w:rsidR="009D47B4" w:rsidRPr="00712DB2">
        <w:rPr>
          <w:rFonts w:cs="Times New Roman"/>
          <w:color w:val="000000"/>
        </w:rPr>
        <w:t>, 620-</w:t>
      </w:r>
    </w:p>
    <w:p w14:paraId="31D88C2E" w14:textId="77777777" w:rsidR="009D47B4" w:rsidRPr="00712DB2" w:rsidRDefault="009D47B4" w:rsidP="00712DB2">
      <w:pPr>
        <w:autoSpaceDE w:val="0"/>
        <w:autoSpaceDN w:val="0"/>
        <w:adjustRightInd w:val="0"/>
        <w:spacing w:line="480" w:lineRule="auto"/>
        <w:rPr>
          <w:rFonts w:cs="Times New Roman"/>
        </w:rPr>
      </w:pPr>
      <w:r w:rsidRPr="00712DB2">
        <w:rPr>
          <w:rFonts w:cs="Times New Roman"/>
          <w:color w:val="000000"/>
        </w:rPr>
        <w:t>630.</w:t>
      </w:r>
      <w:r w:rsidR="00A55633">
        <w:rPr>
          <w:rFonts w:cs="Times New Roman"/>
        </w:rPr>
        <w:t xml:space="preserve"> </w:t>
      </w:r>
    </w:p>
    <w:p w14:paraId="5B869348" w14:textId="77777777" w:rsidR="009D47B4" w:rsidRPr="00712DB2" w:rsidRDefault="009D47B4" w:rsidP="00712DB2">
      <w:pPr>
        <w:spacing w:line="480" w:lineRule="auto"/>
        <w:rPr>
          <w:rFonts w:cs="Times New Roman"/>
        </w:rPr>
      </w:pPr>
    </w:p>
    <w:p w14:paraId="54CD1170" w14:textId="77777777" w:rsidR="009D47B4" w:rsidRPr="00712DB2" w:rsidRDefault="003C2F88" w:rsidP="00712DB2">
      <w:pPr>
        <w:spacing w:line="480" w:lineRule="auto"/>
        <w:rPr>
          <w:rFonts w:cs="Times New Roman"/>
        </w:rPr>
      </w:pPr>
      <w:proofErr w:type="spellStart"/>
      <w:r>
        <w:rPr>
          <w:rFonts w:cs="Times New Roman"/>
        </w:rPr>
        <w:t>Jaynes</w:t>
      </w:r>
      <w:proofErr w:type="spellEnd"/>
      <w:r>
        <w:rPr>
          <w:rFonts w:cs="Times New Roman"/>
        </w:rPr>
        <w:t>, E.T.</w:t>
      </w:r>
      <w:r w:rsidR="00DF1619">
        <w:rPr>
          <w:rFonts w:cs="Times New Roman"/>
        </w:rPr>
        <w:t xml:space="preserve"> (1982)</w:t>
      </w:r>
      <w:r w:rsidR="001F6B20">
        <w:rPr>
          <w:rFonts w:cs="Times New Roman"/>
        </w:rPr>
        <w:t xml:space="preserve"> </w:t>
      </w:r>
      <w:r w:rsidR="009D47B4" w:rsidRPr="00712DB2">
        <w:rPr>
          <w:rFonts w:cs="Times New Roman"/>
        </w:rPr>
        <w:t xml:space="preserve">On the rationale of maximum entropy methods. </w:t>
      </w:r>
      <w:proofErr w:type="gramStart"/>
      <w:r>
        <w:rPr>
          <w:rFonts w:cs="Times New Roman"/>
          <w:i/>
        </w:rPr>
        <w:t>Proceedings of the Institute of Electrical and Electronic</w:t>
      </w:r>
      <w:r w:rsidR="009D47B4" w:rsidRPr="00712DB2">
        <w:rPr>
          <w:rFonts w:cs="Times New Roman"/>
          <w:i/>
        </w:rPr>
        <w:t xml:space="preserve"> En</w:t>
      </w:r>
      <w:r w:rsidR="009D47B4" w:rsidRPr="003C2F88">
        <w:rPr>
          <w:rFonts w:cs="Times New Roman"/>
          <w:i/>
        </w:rPr>
        <w:t>gin</w:t>
      </w:r>
      <w:r w:rsidRPr="003C2F88">
        <w:rPr>
          <w:rFonts w:cs="Times New Roman"/>
          <w:i/>
        </w:rPr>
        <w:t>eering</w:t>
      </w:r>
      <w:r w:rsidR="003B7728">
        <w:rPr>
          <w:rFonts w:cs="Times New Roman"/>
        </w:rPr>
        <w:t>,</w:t>
      </w:r>
      <w:r w:rsidR="009D47B4" w:rsidRPr="00712DB2">
        <w:rPr>
          <w:rFonts w:cs="Times New Roman"/>
        </w:rPr>
        <w:t xml:space="preserve"> </w:t>
      </w:r>
      <w:r w:rsidR="009D47B4" w:rsidRPr="00712DB2">
        <w:rPr>
          <w:rFonts w:cs="Times New Roman"/>
          <w:b/>
        </w:rPr>
        <w:t>70</w:t>
      </w:r>
      <w:r w:rsidR="009D47B4" w:rsidRPr="00712DB2">
        <w:rPr>
          <w:rFonts w:cs="Times New Roman"/>
        </w:rPr>
        <w:t>, 939-952.</w:t>
      </w:r>
      <w:proofErr w:type="gramEnd"/>
    </w:p>
    <w:p w14:paraId="5A22DF2F" w14:textId="77777777" w:rsidR="009D47B4" w:rsidRPr="00712DB2" w:rsidRDefault="009D47B4" w:rsidP="00712DB2">
      <w:pPr>
        <w:spacing w:line="480" w:lineRule="auto"/>
      </w:pPr>
    </w:p>
    <w:p w14:paraId="06D904B1" w14:textId="77777777" w:rsidR="009D47B4" w:rsidRPr="00712DB2" w:rsidRDefault="00DF1619" w:rsidP="00712DB2">
      <w:pPr>
        <w:spacing w:line="480" w:lineRule="auto"/>
      </w:pPr>
      <w:r>
        <w:t>Maurer, B. (1988)</w:t>
      </w:r>
      <w:r w:rsidR="001F6B20">
        <w:t xml:space="preserve"> </w:t>
      </w:r>
      <w:r w:rsidR="009D47B4" w:rsidRPr="00712DB2">
        <w:t>The evolution of body size in birds.</w:t>
      </w:r>
      <w:r w:rsidR="001F6B20">
        <w:t xml:space="preserve"> </w:t>
      </w:r>
      <w:r w:rsidR="009D47B4" w:rsidRPr="00712DB2">
        <w:t>I. Evidence for non-random diversification.</w:t>
      </w:r>
      <w:r w:rsidR="001F6B20">
        <w:t xml:space="preserve"> </w:t>
      </w:r>
      <w:proofErr w:type="gramStart"/>
      <w:r w:rsidR="009D47B4" w:rsidRPr="00712DB2">
        <w:rPr>
          <w:i/>
        </w:rPr>
        <w:t>Evolutionary Ecology</w:t>
      </w:r>
      <w:r w:rsidR="003B7728">
        <w:t>,</w:t>
      </w:r>
      <w:r w:rsidR="009D47B4" w:rsidRPr="00712DB2">
        <w:t xml:space="preserve"> </w:t>
      </w:r>
      <w:r w:rsidR="009D47B4" w:rsidRPr="00712DB2">
        <w:rPr>
          <w:b/>
        </w:rPr>
        <w:t>12</w:t>
      </w:r>
      <w:r w:rsidR="009D47B4" w:rsidRPr="00712DB2">
        <w:t>, 925-934.</w:t>
      </w:r>
      <w:proofErr w:type="gramEnd"/>
    </w:p>
    <w:p w14:paraId="4E959C05" w14:textId="77777777" w:rsidR="009D47B4" w:rsidRPr="00685B60" w:rsidRDefault="009D47B4" w:rsidP="00685B60">
      <w:pPr>
        <w:spacing w:line="480" w:lineRule="auto"/>
      </w:pPr>
    </w:p>
    <w:p w14:paraId="5C8F3B9D" w14:textId="77777777" w:rsidR="009D47B4" w:rsidRPr="003C2F88" w:rsidRDefault="009D47B4" w:rsidP="003C2F88">
      <w:pPr>
        <w:spacing w:line="480" w:lineRule="auto"/>
      </w:pPr>
      <w:r w:rsidRPr="00685B60">
        <w:t>Maurer, B.</w:t>
      </w:r>
      <w:r w:rsidR="008834F3">
        <w:t>,</w:t>
      </w:r>
      <w:r w:rsidRPr="00685B60">
        <w:t xml:space="preserve"> Brown, J. </w:t>
      </w:r>
      <w:r w:rsidR="00697525">
        <w:t xml:space="preserve">&amp; </w:t>
      </w:r>
      <w:proofErr w:type="spellStart"/>
      <w:r w:rsidRPr="00685B60">
        <w:t>Rusler</w:t>
      </w:r>
      <w:proofErr w:type="spellEnd"/>
      <w:r w:rsidRPr="00685B60">
        <w:t>,</w:t>
      </w:r>
      <w:r w:rsidR="001F6B20" w:rsidRPr="00685B60">
        <w:t xml:space="preserve"> </w:t>
      </w:r>
      <w:r w:rsidR="00DF1619">
        <w:t>R.</w:t>
      </w:r>
      <w:r w:rsidRPr="00685B60">
        <w:t xml:space="preserve"> </w:t>
      </w:r>
      <w:r w:rsidR="00DF1619">
        <w:t>(1992)</w:t>
      </w:r>
      <w:r w:rsidRPr="00685B60">
        <w:t xml:space="preserve"> The micro and macro in body size evolution. </w:t>
      </w:r>
      <w:proofErr w:type="gramStart"/>
      <w:r w:rsidRPr="003C2F88">
        <w:rPr>
          <w:i/>
        </w:rPr>
        <w:t xml:space="preserve">Evolution </w:t>
      </w:r>
      <w:r w:rsidRPr="003C2F88">
        <w:rPr>
          <w:b/>
        </w:rPr>
        <w:t>46</w:t>
      </w:r>
      <w:r w:rsidR="00DF1619" w:rsidRPr="003C2F88">
        <w:t>,</w:t>
      </w:r>
      <w:r w:rsidR="00D32566" w:rsidRPr="003C2F88">
        <w:t xml:space="preserve"> </w:t>
      </w:r>
      <w:r w:rsidRPr="003C2F88">
        <w:t>939-953</w:t>
      </w:r>
      <w:r w:rsidR="003C2F88">
        <w:t>.</w:t>
      </w:r>
      <w:proofErr w:type="gramEnd"/>
    </w:p>
    <w:p w14:paraId="7DEEE108" w14:textId="77777777" w:rsidR="006A3FEB" w:rsidRPr="006C19F4" w:rsidRDefault="006A3FEB" w:rsidP="006C19F4">
      <w:pPr>
        <w:spacing w:line="480" w:lineRule="auto"/>
      </w:pPr>
    </w:p>
    <w:p w14:paraId="503BD86E" w14:textId="77777777" w:rsidR="00AB4B40" w:rsidRPr="006C19F4" w:rsidRDefault="00AB4B40" w:rsidP="006C19F4">
      <w:pPr>
        <w:spacing w:line="480" w:lineRule="auto"/>
      </w:pPr>
      <w:r w:rsidRPr="006C19F4">
        <w:t xml:space="preserve">McGill, B. (2003). </w:t>
      </w:r>
      <w:proofErr w:type="gramStart"/>
      <w:r w:rsidRPr="006C19F4">
        <w:t>Strong and weak t</w:t>
      </w:r>
      <w:r w:rsidR="006C19F4">
        <w:t>ests of macroecological theory.</w:t>
      </w:r>
      <w:proofErr w:type="gramEnd"/>
      <w:r w:rsidR="006C19F4">
        <w:t xml:space="preserve"> </w:t>
      </w:r>
      <w:proofErr w:type="spellStart"/>
      <w:proofErr w:type="gramStart"/>
      <w:r w:rsidRPr="006C19F4">
        <w:rPr>
          <w:i/>
        </w:rPr>
        <w:t>Oikos</w:t>
      </w:r>
      <w:proofErr w:type="spellEnd"/>
      <w:r w:rsidR="003B7728">
        <w:t>,</w:t>
      </w:r>
      <w:r w:rsidR="006C19F4">
        <w:t xml:space="preserve"> </w:t>
      </w:r>
      <w:r w:rsidRPr="006C19F4">
        <w:rPr>
          <w:b/>
        </w:rPr>
        <w:t>102</w:t>
      </w:r>
      <w:r w:rsidRPr="006C19F4">
        <w:t>, 679-685.</w:t>
      </w:r>
      <w:proofErr w:type="gramEnd"/>
    </w:p>
    <w:p w14:paraId="22EADCCA" w14:textId="77777777" w:rsidR="00AB4B40" w:rsidRPr="006C19F4" w:rsidRDefault="00AB4B40" w:rsidP="006C19F4">
      <w:pPr>
        <w:spacing w:line="480" w:lineRule="auto"/>
      </w:pPr>
    </w:p>
    <w:p w14:paraId="2724E948" w14:textId="77777777" w:rsidR="006C19F4" w:rsidRPr="006C19F4" w:rsidRDefault="006C19F4" w:rsidP="006C19F4">
      <w:pPr>
        <w:spacing w:line="480" w:lineRule="auto"/>
      </w:pPr>
      <w:proofErr w:type="gramStart"/>
      <w:r w:rsidRPr="006C19F4">
        <w:t xml:space="preserve">McGill, B.J., Etienne, R.S., Gray, J.S., Alonso, D., Anderson, M.J., </w:t>
      </w:r>
      <w:proofErr w:type="spellStart"/>
      <w:r w:rsidRPr="006C19F4">
        <w:t>Benecha</w:t>
      </w:r>
      <w:proofErr w:type="spellEnd"/>
      <w:r w:rsidRPr="006C19F4">
        <w:t xml:space="preserve">, H.K., </w:t>
      </w:r>
      <w:proofErr w:type="spellStart"/>
      <w:r w:rsidRPr="006C19F4">
        <w:t>Dornelas</w:t>
      </w:r>
      <w:proofErr w:type="spellEnd"/>
      <w:r w:rsidRPr="006C19F4">
        <w:t xml:space="preserve">, M., </w:t>
      </w:r>
      <w:proofErr w:type="spellStart"/>
      <w:r w:rsidRPr="006C19F4">
        <w:t>Enquis</w:t>
      </w:r>
      <w:r>
        <w:t>t</w:t>
      </w:r>
      <w:proofErr w:type="spellEnd"/>
      <w:r>
        <w:t xml:space="preserve">, B.J., Green, J.L., He, F. &amp; </w:t>
      </w:r>
      <w:proofErr w:type="spellStart"/>
      <w:r>
        <w:t>Hurlbert</w:t>
      </w:r>
      <w:proofErr w:type="spellEnd"/>
      <w:r>
        <w:t>, A.H. (</w:t>
      </w:r>
      <w:r w:rsidRPr="006C19F4">
        <w:t>2007</w:t>
      </w:r>
      <w:r>
        <w:t>)</w:t>
      </w:r>
      <w:r w:rsidRPr="006C19F4">
        <w:t>.</w:t>
      </w:r>
      <w:proofErr w:type="gramEnd"/>
      <w:r w:rsidRPr="006C19F4">
        <w:t xml:space="preserve"> Species abundance distributions: moving beyond single prediction theories to integration within an ecological framework.</w:t>
      </w:r>
      <w:r>
        <w:t xml:space="preserve"> </w:t>
      </w:r>
      <w:proofErr w:type="gramStart"/>
      <w:r>
        <w:rPr>
          <w:i/>
        </w:rPr>
        <w:t>Ecology L</w:t>
      </w:r>
      <w:r w:rsidRPr="006C19F4">
        <w:rPr>
          <w:i/>
        </w:rPr>
        <w:t>etters</w:t>
      </w:r>
      <w:r w:rsidR="003B7728">
        <w:t>,</w:t>
      </w:r>
      <w:r>
        <w:t xml:space="preserve"> </w:t>
      </w:r>
      <w:r w:rsidRPr="006C19F4">
        <w:rPr>
          <w:b/>
        </w:rPr>
        <w:t>10</w:t>
      </w:r>
      <w:r>
        <w:t xml:space="preserve">, </w:t>
      </w:r>
      <w:r w:rsidRPr="006C19F4">
        <w:t>995-1015.</w:t>
      </w:r>
      <w:proofErr w:type="gramEnd"/>
    </w:p>
    <w:p w14:paraId="4E1635F7" w14:textId="77777777" w:rsidR="00AB4B40" w:rsidRPr="00D215E5" w:rsidRDefault="00AB4B40" w:rsidP="00D215E5">
      <w:pPr>
        <w:spacing w:line="480" w:lineRule="auto"/>
      </w:pPr>
    </w:p>
    <w:p w14:paraId="45211128" w14:textId="77777777" w:rsidR="00D215E5" w:rsidRPr="00D215E5" w:rsidRDefault="00D215E5" w:rsidP="00D215E5">
      <w:pPr>
        <w:spacing w:line="480" w:lineRule="auto"/>
      </w:pPr>
      <w:r>
        <w:t xml:space="preserve">McGill, B.J. &amp; </w:t>
      </w:r>
      <w:proofErr w:type="spellStart"/>
      <w:r>
        <w:t>Nekola</w:t>
      </w:r>
      <w:proofErr w:type="spellEnd"/>
      <w:r>
        <w:t>, J.C.</w:t>
      </w:r>
      <w:r w:rsidRPr="00D215E5">
        <w:t xml:space="preserve"> </w:t>
      </w:r>
      <w:r>
        <w:t>(</w:t>
      </w:r>
      <w:r w:rsidRPr="00D215E5">
        <w:t>2010</w:t>
      </w:r>
      <w:r>
        <w:t>)</w:t>
      </w:r>
      <w:r w:rsidRPr="00D215E5">
        <w:t xml:space="preserve"> Mechanisms in macroecology: AWOL or purloined letter? </w:t>
      </w:r>
      <w:proofErr w:type="gramStart"/>
      <w:r w:rsidRPr="00D215E5">
        <w:t>Towards a pragmatic view of mechanism.</w:t>
      </w:r>
      <w:proofErr w:type="gramEnd"/>
      <w:r>
        <w:t xml:space="preserve"> </w:t>
      </w:r>
      <w:proofErr w:type="spellStart"/>
      <w:proofErr w:type="gramStart"/>
      <w:r w:rsidRPr="00D215E5">
        <w:rPr>
          <w:i/>
        </w:rPr>
        <w:t>Oikos</w:t>
      </w:r>
      <w:proofErr w:type="spellEnd"/>
      <w:r>
        <w:t xml:space="preserve">, </w:t>
      </w:r>
      <w:r w:rsidRPr="00D215E5">
        <w:rPr>
          <w:b/>
        </w:rPr>
        <w:t>119</w:t>
      </w:r>
      <w:r>
        <w:t xml:space="preserve">, </w:t>
      </w:r>
      <w:r w:rsidRPr="00D215E5">
        <w:t>591-603.</w:t>
      </w:r>
      <w:proofErr w:type="gramEnd"/>
    </w:p>
    <w:p w14:paraId="209C0FDD" w14:textId="77777777" w:rsidR="00D215E5" w:rsidRPr="00D215E5" w:rsidRDefault="00D215E5" w:rsidP="00D215E5">
      <w:pPr>
        <w:spacing w:line="480" w:lineRule="auto"/>
      </w:pPr>
    </w:p>
    <w:p w14:paraId="1E194D15" w14:textId="77777777" w:rsidR="006C19F4" w:rsidRPr="006C19F4" w:rsidRDefault="006C19F4" w:rsidP="006C19F4">
      <w:pPr>
        <w:spacing w:line="480" w:lineRule="auto"/>
      </w:pPr>
      <w:r w:rsidRPr="006C19F4">
        <w:t xml:space="preserve">Mori, S., </w:t>
      </w:r>
      <w:proofErr w:type="spellStart"/>
      <w:r w:rsidRPr="006C19F4">
        <w:t>Yamaji</w:t>
      </w:r>
      <w:proofErr w:type="spellEnd"/>
      <w:r w:rsidRPr="006C19F4">
        <w:t xml:space="preserve">, K., Ishida, A., </w:t>
      </w:r>
      <w:proofErr w:type="spellStart"/>
      <w:r w:rsidRPr="006C19F4">
        <w:t>Prokushkin</w:t>
      </w:r>
      <w:proofErr w:type="spellEnd"/>
      <w:r w:rsidRPr="006C19F4">
        <w:t xml:space="preserve">, S.G., </w:t>
      </w:r>
      <w:proofErr w:type="spellStart"/>
      <w:r w:rsidRPr="006C19F4">
        <w:t>Masyagina</w:t>
      </w:r>
      <w:proofErr w:type="spellEnd"/>
      <w:r w:rsidRPr="006C19F4">
        <w:t xml:space="preserve">, O.V., </w:t>
      </w:r>
      <w:proofErr w:type="spellStart"/>
      <w:r w:rsidRPr="006C19F4">
        <w:t>Hagihara</w:t>
      </w:r>
      <w:proofErr w:type="spellEnd"/>
      <w:r w:rsidRPr="006C19F4">
        <w:t xml:space="preserve">, A., </w:t>
      </w:r>
      <w:proofErr w:type="spellStart"/>
      <w:r w:rsidRPr="006C19F4">
        <w:t>Hoque</w:t>
      </w:r>
      <w:proofErr w:type="spellEnd"/>
      <w:r w:rsidRPr="006C19F4">
        <w:t xml:space="preserve">, A.R., </w:t>
      </w:r>
      <w:proofErr w:type="spellStart"/>
      <w:r w:rsidRPr="006C19F4">
        <w:t>Suwa</w:t>
      </w:r>
      <w:proofErr w:type="spellEnd"/>
      <w:r w:rsidRPr="006C19F4">
        <w:t xml:space="preserve">, R., </w:t>
      </w:r>
      <w:proofErr w:type="spellStart"/>
      <w:r w:rsidRPr="006C19F4">
        <w:t>Osawa</w:t>
      </w:r>
      <w:proofErr w:type="spellEnd"/>
      <w:r w:rsidRPr="006C19F4">
        <w:t xml:space="preserve">, A., </w:t>
      </w:r>
      <w:proofErr w:type="spellStart"/>
      <w:r w:rsidRPr="006C19F4">
        <w:t>Nishizono</w:t>
      </w:r>
      <w:proofErr w:type="spellEnd"/>
      <w:r w:rsidRPr="006C19F4">
        <w:t xml:space="preserve">, T. </w:t>
      </w:r>
      <w:r>
        <w:t>&amp; Ueda, T.</w:t>
      </w:r>
      <w:r w:rsidRPr="006C19F4">
        <w:t xml:space="preserve"> </w:t>
      </w:r>
      <w:r>
        <w:t>(</w:t>
      </w:r>
      <w:r w:rsidRPr="006C19F4">
        <w:t>2010</w:t>
      </w:r>
      <w:r>
        <w:t>)</w:t>
      </w:r>
      <w:r w:rsidRPr="006C19F4">
        <w:t>. Mixed-power scaling of whole-plant respiration from seedlings to giant trees.</w:t>
      </w:r>
      <w:r>
        <w:t xml:space="preserve"> </w:t>
      </w:r>
      <w:proofErr w:type="gramStart"/>
      <w:r w:rsidRPr="006C19F4">
        <w:rPr>
          <w:i/>
        </w:rPr>
        <w:t>Proceedings of the National Academy of Sciences</w:t>
      </w:r>
      <w:r w:rsidR="003B7728">
        <w:t>,</w:t>
      </w:r>
      <w:r>
        <w:t xml:space="preserve"> </w:t>
      </w:r>
      <w:r w:rsidRPr="006C19F4">
        <w:rPr>
          <w:b/>
        </w:rPr>
        <w:t>107</w:t>
      </w:r>
      <w:r w:rsidRPr="00D215E5">
        <w:t xml:space="preserve">, </w:t>
      </w:r>
      <w:r w:rsidRPr="006C19F4">
        <w:t>1447-1451.</w:t>
      </w:r>
      <w:proofErr w:type="gramEnd"/>
    </w:p>
    <w:p w14:paraId="4BAED028" w14:textId="77777777" w:rsidR="00AB4B40" w:rsidRPr="003C2F88" w:rsidRDefault="00AB4B40" w:rsidP="003C2F88">
      <w:pPr>
        <w:widowControl w:val="0"/>
        <w:autoSpaceDE w:val="0"/>
        <w:autoSpaceDN w:val="0"/>
        <w:adjustRightInd w:val="0"/>
        <w:spacing w:line="480" w:lineRule="auto"/>
        <w:rPr>
          <w:rFonts w:cs="Times New Roman"/>
        </w:rPr>
      </w:pPr>
    </w:p>
    <w:p w14:paraId="0C746AD9" w14:textId="77777777" w:rsidR="009D47B4" w:rsidRPr="003C2F88" w:rsidRDefault="003C2F88" w:rsidP="003C2F88">
      <w:pPr>
        <w:spacing w:line="480" w:lineRule="auto"/>
      </w:pPr>
      <w:proofErr w:type="gramStart"/>
      <w:r w:rsidRPr="003C2F88">
        <w:t>Mulle</w:t>
      </w:r>
      <w:r w:rsidRPr="0041506C">
        <w:t>r</w:t>
      </w:r>
      <w:r w:rsidR="0041506C" w:rsidRPr="0041506C">
        <w:t>-</w:t>
      </w:r>
      <w:r w:rsidRPr="003C2F88">
        <w:t xml:space="preserve">Landau, H.C., Condit, R.S., Harms, K.E., Marks, C.O., Thomas, S.C., </w:t>
      </w:r>
      <w:proofErr w:type="spellStart"/>
      <w:r w:rsidRPr="003C2F88">
        <w:t>Bunyavejchewin</w:t>
      </w:r>
      <w:proofErr w:type="spellEnd"/>
      <w:r w:rsidRPr="003C2F88">
        <w:t xml:space="preserve">, S., </w:t>
      </w:r>
      <w:proofErr w:type="spellStart"/>
      <w:r w:rsidRPr="003C2F88">
        <w:t>Chuyong</w:t>
      </w:r>
      <w:proofErr w:type="spellEnd"/>
      <w:r w:rsidRPr="003C2F88">
        <w:t xml:space="preserve">, G., Co, L., Davies, S., Foster, R. &amp; </w:t>
      </w:r>
      <w:proofErr w:type="spellStart"/>
      <w:r w:rsidRPr="003C2F88">
        <w:t>Gunatilleke</w:t>
      </w:r>
      <w:proofErr w:type="spellEnd"/>
      <w:r w:rsidRPr="003C2F88">
        <w:t xml:space="preserve">, S. </w:t>
      </w:r>
      <w:r w:rsidR="00DF1619" w:rsidRPr="003C2F88">
        <w:rPr>
          <w:rFonts w:cs="Times New Roman"/>
        </w:rPr>
        <w:t>(</w:t>
      </w:r>
      <w:r w:rsidR="009D47B4" w:rsidRPr="003C2F88">
        <w:rPr>
          <w:rFonts w:cs="Times New Roman"/>
        </w:rPr>
        <w:t>2006</w:t>
      </w:r>
      <w:r w:rsidR="00DF1619" w:rsidRPr="003C2F88">
        <w:rPr>
          <w:rFonts w:cs="Times New Roman"/>
        </w:rPr>
        <w:t>)</w:t>
      </w:r>
      <w:r w:rsidR="009D47B4" w:rsidRPr="003C2F88">
        <w:rPr>
          <w:rFonts w:cs="Times New Roman"/>
        </w:rPr>
        <w:t>.</w:t>
      </w:r>
      <w:proofErr w:type="gramEnd"/>
      <w:r w:rsidR="001F6B20" w:rsidRPr="003C2F88">
        <w:rPr>
          <w:rFonts w:cs="Times New Roman"/>
        </w:rPr>
        <w:t xml:space="preserve"> </w:t>
      </w:r>
      <w:r w:rsidR="009D47B4" w:rsidRPr="003C2F88">
        <w:rPr>
          <w:rFonts w:cs="Times New Roman"/>
        </w:rPr>
        <w:t>Comparing tropical forest tree size distributions with the predictions of metabolic ecology and</w:t>
      </w:r>
      <w:r w:rsidRPr="003C2F88">
        <w:rPr>
          <w:rFonts w:cs="Times New Roman"/>
        </w:rPr>
        <w:t xml:space="preserve"> </w:t>
      </w:r>
      <w:r w:rsidR="009D47B4" w:rsidRPr="003C2F88">
        <w:rPr>
          <w:rFonts w:cs="Times New Roman"/>
        </w:rPr>
        <w:t>equilibrium models.</w:t>
      </w:r>
      <w:r w:rsidR="001F6B20" w:rsidRPr="003C2F88">
        <w:rPr>
          <w:rFonts w:cs="Times New Roman"/>
        </w:rPr>
        <w:t xml:space="preserve"> </w:t>
      </w:r>
      <w:proofErr w:type="gramStart"/>
      <w:r w:rsidR="009D47B4" w:rsidRPr="003C2F88">
        <w:rPr>
          <w:rFonts w:cs="Times New Roman"/>
          <w:i/>
        </w:rPr>
        <w:t>Ecology Letters</w:t>
      </w:r>
      <w:r w:rsidR="003B7728">
        <w:rPr>
          <w:rFonts w:cs="Times New Roman"/>
        </w:rPr>
        <w:t>,</w:t>
      </w:r>
      <w:r w:rsidR="009D47B4" w:rsidRPr="003C2F88">
        <w:rPr>
          <w:rFonts w:cs="Times New Roman"/>
        </w:rPr>
        <w:t xml:space="preserve"> </w:t>
      </w:r>
      <w:r w:rsidR="009D47B4" w:rsidRPr="003C2F88">
        <w:rPr>
          <w:rFonts w:cs="Times New Roman"/>
          <w:b/>
        </w:rPr>
        <w:t>9</w:t>
      </w:r>
      <w:r w:rsidR="00697525" w:rsidRPr="003C2F88">
        <w:rPr>
          <w:rFonts w:cs="Times New Roman"/>
        </w:rPr>
        <w:t>, 589-</w:t>
      </w:r>
      <w:r w:rsidR="009D47B4" w:rsidRPr="003C2F88">
        <w:rPr>
          <w:rFonts w:cs="Times New Roman"/>
        </w:rPr>
        <w:t>602.</w:t>
      </w:r>
      <w:proofErr w:type="gramEnd"/>
    </w:p>
    <w:p w14:paraId="6933B1EA" w14:textId="77777777" w:rsidR="009D47B4" w:rsidRPr="003C2F88" w:rsidRDefault="009D47B4" w:rsidP="003C2F88">
      <w:pPr>
        <w:widowControl w:val="0"/>
        <w:autoSpaceDE w:val="0"/>
        <w:autoSpaceDN w:val="0"/>
        <w:adjustRightInd w:val="0"/>
        <w:spacing w:line="480" w:lineRule="auto"/>
      </w:pPr>
    </w:p>
    <w:p w14:paraId="7F3D48DA" w14:textId="77777777" w:rsidR="009D47B4" w:rsidRPr="003C2F88" w:rsidRDefault="003C2F88" w:rsidP="003C2F88">
      <w:pPr>
        <w:spacing w:line="480" w:lineRule="auto"/>
      </w:pPr>
      <w:r w:rsidRPr="003C2F88">
        <w:t xml:space="preserve">Newman, E.A., Harte, M.E., Lowell, N., Wilber, M. &amp; Harte, J. </w:t>
      </w:r>
      <w:r w:rsidR="00697525" w:rsidRPr="003C2F88">
        <w:t xml:space="preserve">(2014) </w:t>
      </w:r>
      <w:r w:rsidR="009D47B4" w:rsidRPr="003C2F88">
        <w:t>Empirical</w:t>
      </w:r>
      <w:r w:rsidR="009D47B4" w:rsidRPr="003C2F88">
        <w:rPr>
          <w:rFonts w:cs="Times New Roman"/>
        </w:rPr>
        <w:t xml:space="preserve"> tests of within- and across-species energetics in a diverse plant community.</w:t>
      </w:r>
      <w:r w:rsidR="001F6B20" w:rsidRPr="003C2F88">
        <w:rPr>
          <w:rFonts w:cs="Times New Roman"/>
        </w:rPr>
        <w:t xml:space="preserve"> </w:t>
      </w:r>
      <w:proofErr w:type="gramStart"/>
      <w:r w:rsidR="009D47B4" w:rsidRPr="003C2F88">
        <w:rPr>
          <w:rFonts w:cs="Times New Roman"/>
          <w:i/>
        </w:rPr>
        <w:t>Ecology</w:t>
      </w:r>
      <w:r w:rsidR="003B7728">
        <w:rPr>
          <w:rFonts w:cs="Times New Roman"/>
        </w:rPr>
        <w:t>,</w:t>
      </w:r>
      <w:r w:rsidR="009D47B4" w:rsidRPr="003C2F88">
        <w:rPr>
          <w:rFonts w:cs="Times New Roman"/>
        </w:rPr>
        <w:t xml:space="preserve"> </w:t>
      </w:r>
      <w:r w:rsidR="009D47B4" w:rsidRPr="003C2F88">
        <w:rPr>
          <w:rFonts w:cs="Times New Roman"/>
          <w:b/>
        </w:rPr>
        <w:t>95</w:t>
      </w:r>
      <w:r w:rsidR="00697525" w:rsidRPr="003C2F88">
        <w:rPr>
          <w:rFonts w:cs="Times New Roman"/>
        </w:rPr>
        <w:t>, 2815-</w:t>
      </w:r>
      <w:r w:rsidR="009D47B4" w:rsidRPr="003C2F88">
        <w:rPr>
          <w:rFonts w:cs="Times New Roman"/>
        </w:rPr>
        <w:t>2825.</w:t>
      </w:r>
      <w:proofErr w:type="gramEnd"/>
    </w:p>
    <w:p w14:paraId="6D20D425" w14:textId="77777777" w:rsidR="003002C0" w:rsidRPr="002B0E57" w:rsidRDefault="003002C0" w:rsidP="002B0E57">
      <w:pPr>
        <w:spacing w:line="480" w:lineRule="auto"/>
      </w:pPr>
    </w:p>
    <w:p w14:paraId="1F778083" w14:textId="77777777" w:rsidR="002B0E57" w:rsidRPr="002B0E57" w:rsidRDefault="002B0E57" w:rsidP="002B0E57">
      <w:pPr>
        <w:spacing w:line="480" w:lineRule="auto"/>
      </w:pPr>
      <w:proofErr w:type="spellStart"/>
      <w:r>
        <w:t>O'Dwyer</w:t>
      </w:r>
      <w:proofErr w:type="spellEnd"/>
      <w:r>
        <w:t>, J.P., Rominger, A. &amp; Xiao, X.</w:t>
      </w:r>
      <w:r w:rsidRPr="002B0E57">
        <w:t xml:space="preserve"> </w:t>
      </w:r>
      <w:r>
        <w:t>(2017)</w:t>
      </w:r>
      <w:r w:rsidRPr="002B0E57">
        <w:t xml:space="preserve"> Who Constrains the Constraints? Using Maximum Entropy to test the value of Mechanistic Models.</w:t>
      </w:r>
      <w:r>
        <w:t xml:space="preserve"> </w:t>
      </w:r>
      <w:proofErr w:type="spellStart"/>
      <w:proofErr w:type="gramStart"/>
      <w:r w:rsidRPr="002B0E57">
        <w:rPr>
          <w:i/>
        </w:rPr>
        <w:t>arXiv</w:t>
      </w:r>
      <w:proofErr w:type="spellEnd"/>
      <w:proofErr w:type="gramEnd"/>
      <w:r w:rsidRPr="002B0E57">
        <w:rPr>
          <w:i/>
        </w:rPr>
        <w:t xml:space="preserve"> preprint</w:t>
      </w:r>
      <w:r>
        <w:t>,</w:t>
      </w:r>
      <w:r w:rsidRPr="002B0E57">
        <w:t xml:space="preserve"> arXiv:1702.08543.</w:t>
      </w:r>
    </w:p>
    <w:p w14:paraId="4689D8D0" w14:textId="77777777" w:rsidR="002B0E57" w:rsidRDefault="002B0E57" w:rsidP="003C2F88">
      <w:pPr>
        <w:spacing w:line="480" w:lineRule="auto"/>
      </w:pPr>
    </w:p>
    <w:p w14:paraId="314F7862" w14:textId="77777777" w:rsidR="003002C0" w:rsidRDefault="003002C0" w:rsidP="003002C0">
      <w:pPr>
        <w:spacing w:line="480" w:lineRule="auto"/>
      </w:pPr>
      <w:proofErr w:type="gramStart"/>
      <w:r>
        <w:t>R Core Team (2015).</w:t>
      </w:r>
      <w:proofErr w:type="gramEnd"/>
      <w:r>
        <w:t xml:space="preserve"> R: A language and environment for statistical computing. </w:t>
      </w:r>
      <w:proofErr w:type="gramStart"/>
      <w:r>
        <w:t>R Foundation for Statistical Computing, Vienna, Austria.</w:t>
      </w:r>
      <w:proofErr w:type="gramEnd"/>
      <w:r>
        <w:t xml:space="preserve"> URL http://www.R-project.org/.</w:t>
      </w:r>
    </w:p>
    <w:p w14:paraId="50CA12C1" w14:textId="77777777" w:rsidR="009D47B4" w:rsidRPr="003C2F88" w:rsidRDefault="009D47B4" w:rsidP="003C2F88">
      <w:pPr>
        <w:spacing w:line="480" w:lineRule="auto"/>
      </w:pPr>
    </w:p>
    <w:p w14:paraId="733E5711" w14:textId="77777777" w:rsidR="009D47B4" w:rsidRPr="003C2F88" w:rsidRDefault="00697525" w:rsidP="003C2F88">
      <w:pPr>
        <w:spacing w:line="480" w:lineRule="auto"/>
      </w:pPr>
      <w:proofErr w:type="gramStart"/>
      <w:r w:rsidRPr="003C2F88">
        <w:t xml:space="preserve">Ritchie, M. (2010) </w:t>
      </w:r>
      <w:r w:rsidR="009D47B4" w:rsidRPr="003C2F88">
        <w:rPr>
          <w:i/>
        </w:rPr>
        <w:t>Scale, Heterogeneity, and the Structure and Diversity of Ecological Communities.</w:t>
      </w:r>
      <w:proofErr w:type="gramEnd"/>
      <w:r w:rsidR="001F6B20" w:rsidRPr="003C2F88">
        <w:rPr>
          <w:i/>
        </w:rPr>
        <w:t xml:space="preserve"> </w:t>
      </w:r>
      <w:r w:rsidR="009D47B4" w:rsidRPr="003C2F88">
        <w:t>Princeton U. Press, Princeton, NJ.</w:t>
      </w:r>
    </w:p>
    <w:p w14:paraId="399F2907" w14:textId="77777777" w:rsidR="00962439" w:rsidRPr="003C2F88" w:rsidRDefault="00962439" w:rsidP="003C2F88">
      <w:pPr>
        <w:spacing w:line="480" w:lineRule="auto"/>
      </w:pPr>
    </w:p>
    <w:p w14:paraId="29F5C324" w14:textId="77777777" w:rsidR="005E6B00" w:rsidRPr="005E6B00" w:rsidRDefault="00962439" w:rsidP="005E6B00">
      <w:pPr>
        <w:spacing w:line="480" w:lineRule="auto"/>
      </w:pPr>
      <w:r w:rsidRPr="005E6B00">
        <w:t xml:space="preserve">Rominger, A.J. and </w:t>
      </w:r>
      <w:proofErr w:type="spellStart"/>
      <w:r w:rsidRPr="005E6B00">
        <w:t>Merow</w:t>
      </w:r>
      <w:proofErr w:type="spellEnd"/>
      <w:r w:rsidRPr="005E6B00">
        <w:t>, C. (2016</w:t>
      </w:r>
      <w:r w:rsidR="00697525" w:rsidRPr="005E6B00">
        <w:t>)</w:t>
      </w:r>
      <w:r w:rsidRPr="005E6B00">
        <w:t xml:space="preserve"> </w:t>
      </w:r>
      <w:proofErr w:type="spellStart"/>
      <w:r w:rsidRPr="005E6B00">
        <w:t>meteR</w:t>
      </w:r>
      <w:proofErr w:type="spellEnd"/>
      <w:r w:rsidRPr="005E6B00">
        <w:t xml:space="preserve">: an R package for testing the maximum entropy theory of ecology. </w:t>
      </w:r>
      <w:proofErr w:type="gramStart"/>
      <w:r w:rsidRPr="005E6B00">
        <w:rPr>
          <w:i/>
        </w:rPr>
        <w:t>Methods in Ecology and Evolution</w:t>
      </w:r>
      <w:r w:rsidR="005E6B00" w:rsidRPr="005E6B00">
        <w:t xml:space="preserve">, </w:t>
      </w:r>
      <w:r w:rsidR="005E6B00" w:rsidRPr="005E6B00">
        <w:rPr>
          <w:b/>
        </w:rPr>
        <w:t>8</w:t>
      </w:r>
      <w:r w:rsidR="005E6B00">
        <w:t xml:space="preserve">, </w:t>
      </w:r>
      <w:r w:rsidR="005E6B00" w:rsidRPr="005E6B00">
        <w:t>241-247.</w:t>
      </w:r>
      <w:proofErr w:type="gramEnd"/>
    </w:p>
    <w:p w14:paraId="544C0E80" w14:textId="77777777" w:rsidR="009D47B4" w:rsidRPr="003C2F88" w:rsidRDefault="009D47B4" w:rsidP="003C2F88">
      <w:pPr>
        <w:spacing w:line="480" w:lineRule="auto"/>
      </w:pPr>
    </w:p>
    <w:p w14:paraId="04D516DA" w14:textId="77777777" w:rsidR="009D47B4" w:rsidRPr="003C2F88" w:rsidRDefault="003C2F88" w:rsidP="003C2F88">
      <w:pPr>
        <w:spacing w:line="480" w:lineRule="auto"/>
      </w:pPr>
      <w:r w:rsidRPr="003C2F88">
        <w:t xml:space="preserve">Rominger, A.J., Goodman, K.R., Lim, J.Y., Armstrong, E.E., </w:t>
      </w:r>
      <w:proofErr w:type="spellStart"/>
      <w:r w:rsidRPr="003C2F88">
        <w:t>Becking</w:t>
      </w:r>
      <w:proofErr w:type="spellEnd"/>
      <w:r w:rsidRPr="003C2F88">
        <w:t xml:space="preserve">, L.E., Bennett, G.M., Brewer, M.S., </w:t>
      </w:r>
      <w:proofErr w:type="spellStart"/>
      <w:r w:rsidRPr="003C2F88">
        <w:t>Cotoras</w:t>
      </w:r>
      <w:proofErr w:type="spellEnd"/>
      <w:r w:rsidRPr="003C2F88">
        <w:t xml:space="preserve">, D.D., Ewing, C.P., Harte, J. &amp; Martinez, N.D. </w:t>
      </w:r>
      <w:r w:rsidR="00962439" w:rsidRPr="003C2F88">
        <w:t>(</w:t>
      </w:r>
      <w:r w:rsidR="009D47B4" w:rsidRPr="003C2F88">
        <w:t>2016</w:t>
      </w:r>
      <w:r w:rsidR="00962439" w:rsidRPr="003C2F88">
        <w:t>)</w:t>
      </w:r>
      <w:r w:rsidR="009D47B4" w:rsidRPr="003C2F88">
        <w:t>.</w:t>
      </w:r>
      <w:r w:rsidR="001F6B20" w:rsidRPr="003C2F88">
        <w:t xml:space="preserve"> </w:t>
      </w:r>
      <w:r w:rsidR="009D47B4" w:rsidRPr="003C2F88">
        <w:t xml:space="preserve">Community assembly on isolated islands: macroecology meets evolution. </w:t>
      </w:r>
      <w:r w:rsidR="009D47B4" w:rsidRPr="003C2F88">
        <w:rPr>
          <w:i/>
        </w:rPr>
        <w:t>Global Ecology and Biogeography</w:t>
      </w:r>
      <w:r w:rsidR="003B7A18">
        <w:t>,</w:t>
      </w:r>
      <w:r w:rsidR="009D47B4" w:rsidRPr="003C2F88">
        <w:t xml:space="preserve"> </w:t>
      </w:r>
      <w:r w:rsidR="009D47B4" w:rsidRPr="003C2F88">
        <w:rPr>
          <w:b/>
        </w:rPr>
        <w:t>25</w:t>
      </w:r>
      <w:r w:rsidR="009D47B4" w:rsidRPr="003C2F88">
        <w:t>, 769-780.</w:t>
      </w:r>
    </w:p>
    <w:p w14:paraId="7DDA4E35" w14:textId="77777777" w:rsidR="009D47B4" w:rsidRPr="00696ACD" w:rsidRDefault="009D47B4" w:rsidP="00696ACD">
      <w:pPr>
        <w:spacing w:line="480" w:lineRule="auto"/>
      </w:pPr>
    </w:p>
    <w:p w14:paraId="3AF73D1E" w14:textId="77777777" w:rsidR="00696ACD" w:rsidRPr="00696ACD" w:rsidRDefault="00696ACD" w:rsidP="00696ACD">
      <w:pPr>
        <w:spacing w:line="480" w:lineRule="auto"/>
      </w:pPr>
      <w:proofErr w:type="spellStart"/>
      <w:proofErr w:type="gramStart"/>
      <w:r>
        <w:t>Virkar</w:t>
      </w:r>
      <w:proofErr w:type="spellEnd"/>
      <w:r>
        <w:t xml:space="preserve">, Y. &amp; </w:t>
      </w:r>
      <w:proofErr w:type="spellStart"/>
      <w:r>
        <w:t>Clauset</w:t>
      </w:r>
      <w:proofErr w:type="spellEnd"/>
      <w:r>
        <w:t>, A.</w:t>
      </w:r>
      <w:r w:rsidRPr="00696ACD">
        <w:t xml:space="preserve"> </w:t>
      </w:r>
      <w:r>
        <w:t>(2014)</w:t>
      </w:r>
      <w:r w:rsidRPr="00696ACD">
        <w:t xml:space="preserve"> Power-law distributions in binned empirical data.</w:t>
      </w:r>
      <w:proofErr w:type="gramEnd"/>
      <w:r>
        <w:t xml:space="preserve"> </w:t>
      </w:r>
      <w:proofErr w:type="gramStart"/>
      <w:r w:rsidRPr="00696ACD">
        <w:rPr>
          <w:i/>
        </w:rPr>
        <w:t>The Annals of Applied Statistics</w:t>
      </w:r>
      <w:r w:rsidRPr="00696ACD">
        <w:t>,</w:t>
      </w:r>
      <w:r>
        <w:t xml:space="preserve"> </w:t>
      </w:r>
      <w:r w:rsidRPr="00696ACD">
        <w:t>8</w:t>
      </w:r>
      <w:r>
        <w:t xml:space="preserve">, </w:t>
      </w:r>
      <w:r w:rsidRPr="00696ACD">
        <w:t>89-119.</w:t>
      </w:r>
      <w:proofErr w:type="gramEnd"/>
    </w:p>
    <w:p w14:paraId="39F07719" w14:textId="77777777" w:rsidR="00696ACD" w:rsidRPr="00B237A9" w:rsidRDefault="00696ACD" w:rsidP="00B237A9">
      <w:pPr>
        <w:spacing w:line="480" w:lineRule="auto"/>
      </w:pPr>
    </w:p>
    <w:p w14:paraId="5915D3B2" w14:textId="77777777" w:rsidR="00B237A9" w:rsidRPr="00B237A9" w:rsidRDefault="00B237A9" w:rsidP="00B237A9">
      <w:pPr>
        <w:spacing w:line="480" w:lineRule="auto"/>
      </w:pPr>
      <w:proofErr w:type="gramStart"/>
      <w:r>
        <w:t xml:space="preserve">White, E.P., </w:t>
      </w:r>
      <w:proofErr w:type="spellStart"/>
      <w:r>
        <w:t>Enquist</w:t>
      </w:r>
      <w:proofErr w:type="spellEnd"/>
      <w:r>
        <w:t>, B.J. &amp; Green, J.L.</w:t>
      </w:r>
      <w:r w:rsidRPr="00B237A9">
        <w:t xml:space="preserve"> </w:t>
      </w:r>
      <w:r>
        <w:t>(2008)</w:t>
      </w:r>
      <w:r w:rsidRPr="00B237A9">
        <w:t xml:space="preserve"> On estimating the exponent of power</w:t>
      </w:r>
      <w:r w:rsidRPr="00B237A9">
        <w:rPr>
          <w:rFonts w:ascii="PortagoITC TT" w:hAnsi="PortagoITC TT" w:cs="PortagoITC TT"/>
        </w:rPr>
        <w:t>‐</w:t>
      </w:r>
      <w:r w:rsidRPr="00B237A9">
        <w:t>law frequency distributions</w:t>
      </w:r>
      <w:r w:rsidRPr="00B237A9">
        <w:rPr>
          <w:i/>
        </w:rPr>
        <w:t>.</w:t>
      </w:r>
      <w:proofErr w:type="gramEnd"/>
      <w:r w:rsidRPr="00B237A9">
        <w:rPr>
          <w:i/>
        </w:rPr>
        <w:t xml:space="preserve"> </w:t>
      </w:r>
      <w:proofErr w:type="gramStart"/>
      <w:r w:rsidRPr="00B237A9">
        <w:rPr>
          <w:i/>
        </w:rPr>
        <w:t>Ecology</w:t>
      </w:r>
      <w:r w:rsidRPr="00B237A9">
        <w:t>,</w:t>
      </w:r>
      <w:r>
        <w:t xml:space="preserve"> </w:t>
      </w:r>
      <w:r w:rsidRPr="00B237A9">
        <w:rPr>
          <w:b/>
        </w:rPr>
        <w:t>89</w:t>
      </w:r>
      <w:r>
        <w:t xml:space="preserve">, </w:t>
      </w:r>
      <w:r w:rsidRPr="00B237A9">
        <w:t>905-912.</w:t>
      </w:r>
      <w:proofErr w:type="gramEnd"/>
    </w:p>
    <w:p w14:paraId="356736CC" w14:textId="77777777" w:rsidR="00B237A9" w:rsidRPr="00B237A9" w:rsidRDefault="00B237A9" w:rsidP="00B237A9">
      <w:pPr>
        <w:spacing w:line="480" w:lineRule="auto"/>
      </w:pPr>
    </w:p>
    <w:p w14:paraId="53ADEF7F" w14:textId="77777777" w:rsidR="009D47B4" w:rsidRPr="00712DB2" w:rsidRDefault="009D47B4" w:rsidP="003C2F88">
      <w:pPr>
        <w:spacing w:line="480" w:lineRule="auto"/>
        <w:rPr>
          <w:rFonts w:eastAsia="Times New Roman" w:cs="Times New Roman"/>
          <w:color w:val="000000"/>
          <w:shd w:val="clear" w:color="auto" w:fill="FFFFFF"/>
        </w:rPr>
      </w:pPr>
      <w:proofErr w:type="gramStart"/>
      <w:r w:rsidRPr="003C2F88">
        <w:t xml:space="preserve">Xiao, X., </w:t>
      </w:r>
      <w:proofErr w:type="spellStart"/>
      <w:r w:rsidRPr="003C2F88">
        <w:t>McGlinn</w:t>
      </w:r>
      <w:proofErr w:type="spellEnd"/>
      <w:r w:rsidRPr="00962439">
        <w:t>, D.</w:t>
      </w:r>
      <w:r w:rsidR="003B7728">
        <w:t xml:space="preserve"> &amp;</w:t>
      </w:r>
      <w:r w:rsidRPr="00962439">
        <w:t xml:space="preserve"> White, E. </w:t>
      </w:r>
      <w:r w:rsidR="000C1B9D">
        <w:t>(</w:t>
      </w:r>
      <w:r w:rsidRPr="00962439">
        <w:t>2015</w:t>
      </w:r>
      <w:r w:rsidR="000C1B9D">
        <w:t>)</w:t>
      </w:r>
      <w:r w:rsidRPr="00962439">
        <w:t xml:space="preserve"> A strong test of the Maximum Entropy Theory of</w:t>
      </w:r>
      <w:r w:rsidRPr="00712DB2">
        <w:rPr>
          <w:rFonts w:cs="Times New Roman"/>
        </w:rPr>
        <w:t xml:space="preserve"> Ecology.</w:t>
      </w:r>
      <w:proofErr w:type="gramEnd"/>
      <w:r w:rsidR="001F6B20">
        <w:rPr>
          <w:rFonts w:cs="Times New Roman"/>
        </w:rPr>
        <w:t xml:space="preserve"> </w:t>
      </w:r>
      <w:proofErr w:type="gramStart"/>
      <w:r w:rsidRPr="00712DB2">
        <w:rPr>
          <w:rFonts w:cs="Times New Roman"/>
          <w:i/>
        </w:rPr>
        <w:t>American Naturalist</w:t>
      </w:r>
      <w:r w:rsidR="003B7A18">
        <w:rPr>
          <w:rFonts w:cs="Times New Roman"/>
        </w:rPr>
        <w:t>,</w:t>
      </w:r>
      <w:r w:rsidRPr="00712DB2">
        <w:rPr>
          <w:rFonts w:cs="Times New Roman"/>
        </w:rPr>
        <w:t xml:space="preserve"> </w:t>
      </w:r>
      <w:r w:rsidRPr="00712DB2">
        <w:rPr>
          <w:rFonts w:cs="Times New Roman"/>
          <w:b/>
        </w:rPr>
        <w:t>185</w:t>
      </w:r>
      <w:r w:rsidRPr="005F484D">
        <w:rPr>
          <w:rFonts w:cs="Times New Roman"/>
        </w:rPr>
        <w:t>,</w:t>
      </w:r>
      <w:r w:rsidR="007C7183">
        <w:rPr>
          <w:rFonts w:cs="Times New Roman"/>
        </w:rPr>
        <w:t xml:space="preserve"> E70-E80</w:t>
      </w:r>
      <w:r w:rsidR="001430FD">
        <w:rPr>
          <w:rFonts w:cs="Times New Roman"/>
        </w:rPr>
        <w:t>.</w:t>
      </w:r>
      <w:proofErr w:type="gramEnd"/>
    </w:p>
    <w:p w14:paraId="52C9CE9A" w14:textId="77777777" w:rsidR="009D47B4" w:rsidRDefault="009D47B4" w:rsidP="00712DB2">
      <w:pPr>
        <w:spacing w:line="480" w:lineRule="auto"/>
      </w:pPr>
    </w:p>
    <w:p w14:paraId="2307C044" w14:textId="77777777" w:rsidR="008D38FC" w:rsidRPr="006F1A27" w:rsidRDefault="00355012" w:rsidP="00E1554F">
      <w:pPr>
        <w:spacing w:line="480" w:lineRule="auto"/>
      </w:pPr>
      <w:r>
        <w:rPr>
          <w:b/>
        </w:rPr>
        <w:br w:type="page"/>
      </w:r>
      <w:r w:rsidR="00BF7F6B" w:rsidRPr="00BF7F6B">
        <w:rPr>
          <w:b/>
        </w:rPr>
        <w:t>FIGURES</w:t>
      </w:r>
    </w:p>
    <w:p w14:paraId="7B67ADC4" w14:textId="77777777" w:rsidR="00355012" w:rsidRDefault="00355012" w:rsidP="00E1554F">
      <w:pPr>
        <w:spacing w:line="480" w:lineRule="auto"/>
      </w:pPr>
    </w:p>
    <w:p w14:paraId="538239D4" w14:textId="77777777" w:rsidR="00BF7F6B" w:rsidRDefault="00BF7F6B" w:rsidP="00BF7F6B">
      <w:pPr>
        <w:spacing w:line="480" w:lineRule="auto"/>
      </w:pPr>
      <w:r>
        <w:t xml:space="preserve">Figure 1. Probability density function predicted by METE parameterized for </w:t>
      </w:r>
      <w:proofErr w:type="spellStart"/>
      <w:r>
        <w:t>Barro</w:t>
      </w:r>
      <w:proofErr w:type="spellEnd"/>
      <w:r>
        <w:t xml:space="preserve"> Colorado Island 1995 census. </w:t>
      </w:r>
      <w:r w:rsidR="00170AB7">
        <w:t xml:space="preserve">The white region encompasses very small values of metabolic rates of individuals, and the predicted form of the metabolic rate distribution is relatively constant in this region. </w:t>
      </w:r>
      <w:r>
        <w:t>The dark gray region corresponds to power law behavior, while the light gray region represents dominance of exponential behavior.</w:t>
      </w:r>
    </w:p>
    <w:p w14:paraId="45F15D25" w14:textId="77777777" w:rsidR="00170AB7" w:rsidRDefault="00170AB7" w:rsidP="00BF7F6B">
      <w:pPr>
        <w:spacing w:line="480" w:lineRule="auto"/>
      </w:pPr>
    </w:p>
    <w:p w14:paraId="578F3A31" w14:textId="77777777" w:rsidR="00BF7F6B" w:rsidRDefault="00BF7F6B" w:rsidP="00712DB2">
      <w:pPr>
        <w:spacing w:line="480" w:lineRule="auto"/>
      </w:pPr>
    </w:p>
    <w:p w14:paraId="2CB85D44" w14:textId="77777777" w:rsidR="00F01E3E" w:rsidRDefault="00F01E3E" w:rsidP="00712DB2">
      <w:pPr>
        <w:spacing w:line="480" w:lineRule="auto"/>
      </w:pPr>
    </w:p>
    <w:p w14:paraId="37DED005" w14:textId="77777777" w:rsidR="00F01E3E" w:rsidRDefault="00F01E3E" w:rsidP="00712DB2">
      <w:pPr>
        <w:spacing w:line="480" w:lineRule="auto"/>
      </w:pPr>
      <w:r>
        <w:rPr>
          <w:noProof/>
        </w:rPr>
        <w:drawing>
          <wp:inline distT="0" distB="0" distL="0" distR="0" wp14:anchorId="2487A835" wp14:editId="034CAC82">
            <wp:extent cx="2514600" cy="2514600"/>
            <wp:effectExtent l="0" t="0" r="0" b="0"/>
            <wp:docPr id="6" name="Picture 2" descr="Macintosh HD:Users:ajr:Dropbox:Research:psi_mete:ms:fig_PsiT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jr:Dropbox:Research:psi_mete:ms:fig_PsiTh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79DF333E" w14:textId="77777777" w:rsidR="00355012" w:rsidRDefault="00355012" w:rsidP="00712DB2">
      <w:pPr>
        <w:spacing w:line="480" w:lineRule="auto"/>
      </w:pPr>
    </w:p>
    <w:p w14:paraId="02BDD327" w14:textId="77777777" w:rsidR="00F01E3E" w:rsidRDefault="00F01E3E" w:rsidP="00F01E3E">
      <w:pPr>
        <w:spacing w:line="480" w:lineRule="auto"/>
      </w:pPr>
      <w:r>
        <w:br w:type="page"/>
      </w:r>
      <w:r w:rsidR="00BF7F6B">
        <w:t xml:space="preserve">Figure 2. </w:t>
      </w:r>
      <w:r w:rsidR="00BF7F6B" w:rsidRPr="00712DB2">
        <w:t xml:space="preserve">Comparison of the METE prediction for the distribution of metabolic rates with observed values for </w:t>
      </w:r>
      <w:r w:rsidR="00BF7F6B">
        <w:t xml:space="preserve">(A) individual trees at </w:t>
      </w:r>
      <w:proofErr w:type="spellStart"/>
      <w:r w:rsidR="00BF7F6B">
        <w:t>Barro</w:t>
      </w:r>
      <w:proofErr w:type="spellEnd"/>
      <w:r w:rsidR="00BF7F6B">
        <w:t xml:space="preserve"> Colorado Island (1995 census; Hubbell et al. 2005), where</w:t>
      </w:r>
      <w:r w:rsidR="00BF7F6B" w:rsidRPr="001A7798">
        <w:t xml:space="preserve"> </w:t>
      </w:r>
      <w:r w:rsidR="00BF7F6B">
        <w:t>b</w:t>
      </w:r>
      <w:r w:rsidR="00BF7F6B" w:rsidRPr="001A7798">
        <w:t>asal area is assumed to be a surrogate for metabolic rate</w:t>
      </w:r>
      <w:r w:rsidR="00BF7F6B">
        <w:t xml:space="preserve">, and (B) subalpine meadow plants from Rocky Mountain Biological Laboratory, Colorado, USA (Newman et al. 2014); and (C) </w:t>
      </w:r>
      <w:r w:rsidR="00BF7F6B" w:rsidRPr="00685B60">
        <w:t xml:space="preserve">a community of predaceous arthropods in Hawaii (data from </w:t>
      </w:r>
      <w:proofErr w:type="spellStart"/>
      <w:r w:rsidR="00BF7F6B" w:rsidRPr="00685B60">
        <w:t>Gruner</w:t>
      </w:r>
      <w:proofErr w:type="spellEnd"/>
      <w:r w:rsidR="00BF7F6B">
        <w:t xml:space="preserve"> 2007).</w:t>
      </w:r>
      <w:r w:rsidR="00BF7F6B" w:rsidRPr="00685B60">
        <w:t xml:space="preserve"> </w:t>
      </w:r>
      <w:r w:rsidR="00BF7F6B">
        <w:t>Data and theory are presented as rank curves with log metabolic rate for each individual on the y-axis and individual rank (from largest to smallest) on the x-axis.</w:t>
      </w:r>
    </w:p>
    <w:p w14:paraId="475A3BEF" w14:textId="77777777" w:rsidR="00355012" w:rsidRDefault="00355012" w:rsidP="00F01E3E">
      <w:pPr>
        <w:spacing w:line="480" w:lineRule="auto"/>
      </w:pPr>
    </w:p>
    <w:p w14:paraId="6BBA2594" w14:textId="77777777" w:rsidR="00355012" w:rsidRDefault="00F01E3E" w:rsidP="00712DB2">
      <w:pPr>
        <w:spacing w:line="480" w:lineRule="auto"/>
      </w:pPr>
      <w:r>
        <w:rPr>
          <w:noProof/>
        </w:rPr>
        <w:drawing>
          <wp:inline distT="0" distB="0" distL="0" distR="0" wp14:anchorId="2F82B3FF" wp14:editId="443FFD07">
            <wp:extent cx="5929630" cy="2225040"/>
            <wp:effectExtent l="0" t="0" r="0" b="0"/>
            <wp:docPr id="5" name="Picture 1" descr="Macintosh HD:Users:ajr:Dropbox:Research:psi_mete:ms:fig_Psi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jr:Dropbox:Research:psi_mete:ms:fig_PsiDat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9630" cy="2225040"/>
                    </a:xfrm>
                    <a:prstGeom prst="rect">
                      <a:avLst/>
                    </a:prstGeom>
                    <a:noFill/>
                    <a:ln>
                      <a:noFill/>
                    </a:ln>
                  </pic:spPr>
                </pic:pic>
              </a:graphicData>
            </a:graphic>
          </wp:inline>
        </w:drawing>
      </w:r>
    </w:p>
    <w:p w14:paraId="5F4082DE" w14:textId="77777777" w:rsidR="008D38FC" w:rsidRPr="00712DB2" w:rsidRDefault="008D38FC" w:rsidP="00F01E3E">
      <w:pPr>
        <w:spacing w:line="480" w:lineRule="auto"/>
      </w:pPr>
    </w:p>
    <w:sectPr w:rsidR="008D38FC" w:rsidRPr="00712DB2" w:rsidSect="0014485A">
      <w:headerReference w:type="even" r:id="rId16"/>
      <w:headerReference w:type="default" r:id="rId17"/>
      <w:pgSz w:w="12240" w:h="15840"/>
      <w:pgMar w:top="1440" w:right="1440" w:bottom="1440" w:left="1440" w:header="720" w:footer="720" w:gutter="0"/>
      <w:lnNumType w:countBy="1" w:restart="continuous"/>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B4D43" w14:textId="77777777" w:rsidR="00D14DD3" w:rsidRDefault="00FE592E">
      <w:r>
        <w:separator/>
      </w:r>
    </w:p>
  </w:endnote>
  <w:endnote w:type="continuationSeparator" w:id="0">
    <w:p w14:paraId="1C6EFA21" w14:textId="77777777" w:rsidR="00D14DD3" w:rsidRDefault="00FE5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PortagoITC TT">
    <w:altName w:val="Helvetica Neue Light"/>
    <w:panose1 w:val="00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DAD9A5" w14:textId="77777777" w:rsidR="00D14DD3" w:rsidRDefault="00FE592E">
      <w:r>
        <w:separator/>
      </w:r>
    </w:p>
  </w:footnote>
  <w:footnote w:type="continuationSeparator" w:id="0">
    <w:p w14:paraId="018965D8" w14:textId="77777777" w:rsidR="00D14DD3" w:rsidRDefault="00FE59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AE626B" w14:textId="77777777" w:rsidR="004F18B7" w:rsidRDefault="002F1A3C" w:rsidP="0014485A">
    <w:pPr>
      <w:pStyle w:val="Header"/>
      <w:framePr w:wrap="around" w:vAnchor="text" w:hAnchor="margin" w:xAlign="right" w:y="1"/>
      <w:rPr>
        <w:rStyle w:val="PageNumber"/>
      </w:rPr>
    </w:pPr>
    <w:r>
      <w:rPr>
        <w:rStyle w:val="PageNumber"/>
      </w:rPr>
      <w:fldChar w:fldCharType="begin"/>
    </w:r>
    <w:r w:rsidR="004F18B7">
      <w:rPr>
        <w:rStyle w:val="PageNumber"/>
      </w:rPr>
      <w:instrText xml:space="preserve">PAGE  </w:instrText>
    </w:r>
    <w:r>
      <w:rPr>
        <w:rStyle w:val="PageNumber"/>
      </w:rPr>
      <w:fldChar w:fldCharType="end"/>
    </w:r>
  </w:p>
  <w:p w14:paraId="7B028CBE" w14:textId="77777777" w:rsidR="00474B5C" w:rsidRDefault="00474B5C" w:rsidP="00FE592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15A61" w14:textId="77777777" w:rsidR="004F18B7" w:rsidRDefault="002F1A3C" w:rsidP="000E35F3">
    <w:pPr>
      <w:pStyle w:val="Header"/>
      <w:framePr w:wrap="around" w:vAnchor="text" w:hAnchor="margin" w:xAlign="right" w:y="1"/>
      <w:rPr>
        <w:rStyle w:val="PageNumber"/>
      </w:rPr>
    </w:pPr>
    <w:r>
      <w:rPr>
        <w:rStyle w:val="PageNumber"/>
      </w:rPr>
      <w:fldChar w:fldCharType="begin"/>
    </w:r>
    <w:r w:rsidR="004F18B7">
      <w:rPr>
        <w:rStyle w:val="PageNumber"/>
      </w:rPr>
      <w:instrText xml:space="preserve">PAGE  </w:instrText>
    </w:r>
    <w:r>
      <w:rPr>
        <w:rStyle w:val="PageNumber"/>
      </w:rPr>
      <w:fldChar w:fldCharType="separate"/>
    </w:r>
    <w:r w:rsidR="00A832D9">
      <w:rPr>
        <w:rStyle w:val="PageNumber"/>
        <w:noProof/>
      </w:rPr>
      <w:t>6</w:t>
    </w:r>
    <w:r>
      <w:rPr>
        <w:rStyle w:val="PageNumber"/>
      </w:rPr>
      <w:fldChar w:fldCharType="end"/>
    </w:r>
  </w:p>
  <w:p w14:paraId="4274E68C" w14:textId="77777777" w:rsidR="004F18B7" w:rsidRDefault="004F18B7" w:rsidP="0051307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7B4"/>
    <w:rsid w:val="0002622A"/>
    <w:rsid w:val="00045764"/>
    <w:rsid w:val="00066DE3"/>
    <w:rsid w:val="00067073"/>
    <w:rsid w:val="0008192A"/>
    <w:rsid w:val="000839A1"/>
    <w:rsid w:val="000862F6"/>
    <w:rsid w:val="000A1254"/>
    <w:rsid w:val="000B70FB"/>
    <w:rsid w:val="000C1B9D"/>
    <w:rsid w:val="000E35F3"/>
    <w:rsid w:val="000F2317"/>
    <w:rsid w:val="000F4C22"/>
    <w:rsid w:val="001153DA"/>
    <w:rsid w:val="0012402E"/>
    <w:rsid w:val="00135A3F"/>
    <w:rsid w:val="0014184A"/>
    <w:rsid w:val="001430FD"/>
    <w:rsid w:val="0014485A"/>
    <w:rsid w:val="00155078"/>
    <w:rsid w:val="00170AB7"/>
    <w:rsid w:val="001B5259"/>
    <w:rsid w:val="001B58D1"/>
    <w:rsid w:val="001E006B"/>
    <w:rsid w:val="001F6B20"/>
    <w:rsid w:val="00221AEF"/>
    <w:rsid w:val="00221C8E"/>
    <w:rsid w:val="002236C7"/>
    <w:rsid w:val="002247B9"/>
    <w:rsid w:val="00233D02"/>
    <w:rsid w:val="0024309E"/>
    <w:rsid w:val="00250AD2"/>
    <w:rsid w:val="00294683"/>
    <w:rsid w:val="002B0E57"/>
    <w:rsid w:val="002B3C78"/>
    <w:rsid w:val="002E3389"/>
    <w:rsid w:val="002F1A3C"/>
    <w:rsid w:val="003002C0"/>
    <w:rsid w:val="00306045"/>
    <w:rsid w:val="003255E5"/>
    <w:rsid w:val="00342080"/>
    <w:rsid w:val="003463B8"/>
    <w:rsid w:val="00355012"/>
    <w:rsid w:val="0036231E"/>
    <w:rsid w:val="003A59AD"/>
    <w:rsid w:val="003A7A97"/>
    <w:rsid w:val="003B7728"/>
    <w:rsid w:val="003B7A18"/>
    <w:rsid w:val="003C2F88"/>
    <w:rsid w:val="003D6313"/>
    <w:rsid w:val="0041506C"/>
    <w:rsid w:val="00442BFE"/>
    <w:rsid w:val="00451DC2"/>
    <w:rsid w:val="0045258D"/>
    <w:rsid w:val="00465633"/>
    <w:rsid w:val="00474B5C"/>
    <w:rsid w:val="00476676"/>
    <w:rsid w:val="004844A3"/>
    <w:rsid w:val="00485127"/>
    <w:rsid w:val="00487276"/>
    <w:rsid w:val="004B5712"/>
    <w:rsid w:val="004F1816"/>
    <w:rsid w:val="004F18B7"/>
    <w:rsid w:val="005028DA"/>
    <w:rsid w:val="0051307F"/>
    <w:rsid w:val="00521D1E"/>
    <w:rsid w:val="0053054D"/>
    <w:rsid w:val="00565CDA"/>
    <w:rsid w:val="00567F42"/>
    <w:rsid w:val="00571695"/>
    <w:rsid w:val="00575FEC"/>
    <w:rsid w:val="00594385"/>
    <w:rsid w:val="00597380"/>
    <w:rsid w:val="005B65F7"/>
    <w:rsid w:val="005E6B00"/>
    <w:rsid w:val="005F14F2"/>
    <w:rsid w:val="005F484D"/>
    <w:rsid w:val="005F4935"/>
    <w:rsid w:val="00611F1E"/>
    <w:rsid w:val="00636018"/>
    <w:rsid w:val="00640DB5"/>
    <w:rsid w:val="006515F4"/>
    <w:rsid w:val="00655218"/>
    <w:rsid w:val="006556B6"/>
    <w:rsid w:val="006650A5"/>
    <w:rsid w:val="006731D2"/>
    <w:rsid w:val="00685B60"/>
    <w:rsid w:val="00696ACD"/>
    <w:rsid w:val="00697525"/>
    <w:rsid w:val="006A3FEB"/>
    <w:rsid w:val="006A5DE0"/>
    <w:rsid w:val="006C19F4"/>
    <w:rsid w:val="006F1A27"/>
    <w:rsid w:val="00712DB2"/>
    <w:rsid w:val="00714597"/>
    <w:rsid w:val="00726FCC"/>
    <w:rsid w:val="00731CD7"/>
    <w:rsid w:val="00737089"/>
    <w:rsid w:val="00767C4F"/>
    <w:rsid w:val="00786ECE"/>
    <w:rsid w:val="007C30D0"/>
    <w:rsid w:val="007C7183"/>
    <w:rsid w:val="007D6E93"/>
    <w:rsid w:val="008061F6"/>
    <w:rsid w:val="008173CA"/>
    <w:rsid w:val="00830600"/>
    <w:rsid w:val="00840F49"/>
    <w:rsid w:val="00850DAA"/>
    <w:rsid w:val="0087096D"/>
    <w:rsid w:val="008778FE"/>
    <w:rsid w:val="008834F3"/>
    <w:rsid w:val="00897C1A"/>
    <w:rsid w:val="008D38FC"/>
    <w:rsid w:val="008E217A"/>
    <w:rsid w:val="008F1D65"/>
    <w:rsid w:val="00915E98"/>
    <w:rsid w:val="00962439"/>
    <w:rsid w:val="0098008F"/>
    <w:rsid w:val="009864CD"/>
    <w:rsid w:val="00986539"/>
    <w:rsid w:val="00990424"/>
    <w:rsid w:val="00991108"/>
    <w:rsid w:val="00995A1C"/>
    <w:rsid w:val="009A6759"/>
    <w:rsid w:val="009B67BA"/>
    <w:rsid w:val="009D47B4"/>
    <w:rsid w:val="009D4F24"/>
    <w:rsid w:val="009E20F2"/>
    <w:rsid w:val="009E662E"/>
    <w:rsid w:val="00A02C5F"/>
    <w:rsid w:val="00A06278"/>
    <w:rsid w:val="00A14B3D"/>
    <w:rsid w:val="00A24471"/>
    <w:rsid w:val="00A55633"/>
    <w:rsid w:val="00A572C6"/>
    <w:rsid w:val="00A832D9"/>
    <w:rsid w:val="00AA0719"/>
    <w:rsid w:val="00AA1EF0"/>
    <w:rsid w:val="00AB097F"/>
    <w:rsid w:val="00AB19EB"/>
    <w:rsid w:val="00AB4B40"/>
    <w:rsid w:val="00AE6D7B"/>
    <w:rsid w:val="00AF09E3"/>
    <w:rsid w:val="00AF6EBF"/>
    <w:rsid w:val="00B237A9"/>
    <w:rsid w:val="00B43182"/>
    <w:rsid w:val="00B539FA"/>
    <w:rsid w:val="00BC3606"/>
    <w:rsid w:val="00BC3C9C"/>
    <w:rsid w:val="00BF7F6B"/>
    <w:rsid w:val="00C2085A"/>
    <w:rsid w:val="00C24368"/>
    <w:rsid w:val="00C35026"/>
    <w:rsid w:val="00C371B5"/>
    <w:rsid w:val="00C452BA"/>
    <w:rsid w:val="00C454CC"/>
    <w:rsid w:val="00C61E83"/>
    <w:rsid w:val="00C92D49"/>
    <w:rsid w:val="00CB7438"/>
    <w:rsid w:val="00CC24BD"/>
    <w:rsid w:val="00CD0168"/>
    <w:rsid w:val="00CE12E7"/>
    <w:rsid w:val="00CE4BB7"/>
    <w:rsid w:val="00CF1B78"/>
    <w:rsid w:val="00CF2EE7"/>
    <w:rsid w:val="00D04A73"/>
    <w:rsid w:val="00D14DD3"/>
    <w:rsid w:val="00D215E5"/>
    <w:rsid w:val="00D32566"/>
    <w:rsid w:val="00D32AD3"/>
    <w:rsid w:val="00D34C3C"/>
    <w:rsid w:val="00D377FC"/>
    <w:rsid w:val="00D56A81"/>
    <w:rsid w:val="00D70D09"/>
    <w:rsid w:val="00D81D27"/>
    <w:rsid w:val="00DC2F50"/>
    <w:rsid w:val="00DF1619"/>
    <w:rsid w:val="00E05D47"/>
    <w:rsid w:val="00E1554F"/>
    <w:rsid w:val="00E16721"/>
    <w:rsid w:val="00E32408"/>
    <w:rsid w:val="00E33603"/>
    <w:rsid w:val="00E37B03"/>
    <w:rsid w:val="00E44CF1"/>
    <w:rsid w:val="00E86FD6"/>
    <w:rsid w:val="00E924D4"/>
    <w:rsid w:val="00EC4C77"/>
    <w:rsid w:val="00EE1EF3"/>
    <w:rsid w:val="00F01E3E"/>
    <w:rsid w:val="00F06394"/>
    <w:rsid w:val="00F33861"/>
    <w:rsid w:val="00F35222"/>
    <w:rsid w:val="00F6248B"/>
    <w:rsid w:val="00F762F4"/>
    <w:rsid w:val="00FC4FA6"/>
    <w:rsid w:val="00FE592E"/>
    <w:rsid w:val="00FE6AEF"/>
    <w:rsid w:val="00FF319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5BB1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7B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7B4"/>
    <w:rPr>
      <w:color w:val="0000FF" w:themeColor="hyperlink"/>
      <w:u w:val="single"/>
    </w:rPr>
  </w:style>
  <w:style w:type="character" w:styleId="LineNumber">
    <w:name w:val="line number"/>
    <w:basedOn w:val="DefaultParagraphFont"/>
    <w:uiPriority w:val="99"/>
    <w:unhideWhenUsed/>
    <w:rsid w:val="009D47B4"/>
  </w:style>
  <w:style w:type="paragraph" w:styleId="BalloonText">
    <w:name w:val="Balloon Text"/>
    <w:basedOn w:val="Normal"/>
    <w:link w:val="BalloonTextChar"/>
    <w:uiPriority w:val="99"/>
    <w:semiHidden/>
    <w:unhideWhenUsed/>
    <w:rsid w:val="009D47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7B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217A"/>
    <w:rPr>
      <w:sz w:val="18"/>
      <w:szCs w:val="18"/>
    </w:rPr>
  </w:style>
  <w:style w:type="paragraph" w:styleId="CommentText">
    <w:name w:val="annotation text"/>
    <w:basedOn w:val="Normal"/>
    <w:link w:val="CommentTextChar"/>
    <w:uiPriority w:val="99"/>
    <w:semiHidden/>
    <w:unhideWhenUsed/>
    <w:rsid w:val="008E217A"/>
  </w:style>
  <w:style w:type="character" w:customStyle="1" w:styleId="CommentTextChar">
    <w:name w:val="Comment Text Char"/>
    <w:basedOn w:val="DefaultParagraphFont"/>
    <w:link w:val="CommentText"/>
    <w:uiPriority w:val="99"/>
    <w:semiHidden/>
    <w:rsid w:val="008E217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217A"/>
    <w:rPr>
      <w:b/>
      <w:bCs/>
      <w:sz w:val="20"/>
      <w:szCs w:val="20"/>
    </w:rPr>
  </w:style>
  <w:style w:type="character" w:customStyle="1" w:styleId="CommentSubjectChar">
    <w:name w:val="Comment Subject Char"/>
    <w:basedOn w:val="CommentTextChar"/>
    <w:link w:val="CommentSubject"/>
    <w:uiPriority w:val="99"/>
    <w:semiHidden/>
    <w:rsid w:val="008E217A"/>
    <w:rPr>
      <w:rFonts w:ascii="Times New Roman" w:hAnsi="Times New Roman"/>
      <w:b/>
      <w:bCs/>
      <w:sz w:val="20"/>
      <w:szCs w:val="20"/>
    </w:rPr>
  </w:style>
  <w:style w:type="character" w:customStyle="1" w:styleId="apple-converted-space">
    <w:name w:val="apple-converted-space"/>
    <w:basedOn w:val="DefaultParagraphFont"/>
    <w:rsid w:val="00355012"/>
  </w:style>
  <w:style w:type="paragraph" w:styleId="Header">
    <w:name w:val="header"/>
    <w:basedOn w:val="Normal"/>
    <w:link w:val="HeaderChar"/>
    <w:uiPriority w:val="99"/>
    <w:unhideWhenUsed/>
    <w:rsid w:val="0051307F"/>
    <w:pPr>
      <w:tabs>
        <w:tab w:val="center" w:pos="4320"/>
        <w:tab w:val="right" w:pos="8640"/>
      </w:tabs>
    </w:pPr>
  </w:style>
  <w:style w:type="character" w:customStyle="1" w:styleId="HeaderChar">
    <w:name w:val="Header Char"/>
    <w:basedOn w:val="DefaultParagraphFont"/>
    <w:link w:val="Header"/>
    <w:uiPriority w:val="99"/>
    <w:rsid w:val="0051307F"/>
    <w:rPr>
      <w:rFonts w:ascii="Times New Roman" w:hAnsi="Times New Roman"/>
    </w:rPr>
  </w:style>
  <w:style w:type="character" w:styleId="PageNumber">
    <w:name w:val="page number"/>
    <w:basedOn w:val="DefaultParagraphFont"/>
    <w:uiPriority w:val="99"/>
    <w:semiHidden/>
    <w:unhideWhenUsed/>
    <w:rsid w:val="0051307F"/>
  </w:style>
  <w:style w:type="paragraph" w:styleId="Footer">
    <w:name w:val="footer"/>
    <w:basedOn w:val="Normal"/>
    <w:link w:val="FooterChar"/>
    <w:uiPriority w:val="99"/>
    <w:semiHidden/>
    <w:unhideWhenUsed/>
    <w:rsid w:val="0051307F"/>
    <w:pPr>
      <w:tabs>
        <w:tab w:val="center" w:pos="4320"/>
        <w:tab w:val="right" w:pos="8640"/>
      </w:tabs>
    </w:pPr>
  </w:style>
  <w:style w:type="character" w:customStyle="1" w:styleId="FooterChar">
    <w:name w:val="Footer Char"/>
    <w:basedOn w:val="DefaultParagraphFont"/>
    <w:link w:val="Footer"/>
    <w:uiPriority w:val="99"/>
    <w:semiHidden/>
    <w:rsid w:val="0051307F"/>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7B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7B4"/>
    <w:rPr>
      <w:color w:val="0000FF" w:themeColor="hyperlink"/>
      <w:u w:val="single"/>
    </w:rPr>
  </w:style>
  <w:style w:type="character" w:styleId="LineNumber">
    <w:name w:val="line number"/>
    <w:basedOn w:val="DefaultParagraphFont"/>
    <w:uiPriority w:val="99"/>
    <w:unhideWhenUsed/>
    <w:rsid w:val="009D47B4"/>
  </w:style>
  <w:style w:type="paragraph" w:styleId="BalloonText">
    <w:name w:val="Balloon Text"/>
    <w:basedOn w:val="Normal"/>
    <w:link w:val="BalloonTextChar"/>
    <w:uiPriority w:val="99"/>
    <w:semiHidden/>
    <w:unhideWhenUsed/>
    <w:rsid w:val="009D47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7B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217A"/>
    <w:rPr>
      <w:sz w:val="18"/>
      <w:szCs w:val="18"/>
    </w:rPr>
  </w:style>
  <w:style w:type="paragraph" w:styleId="CommentText">
    <w:name w:val="annotation text"/>
    <w:basedOn w:val="Normal"/>
    <w:link w:val="CommentTextChar"/>
    <w:uiPriority w:val="99"/>
    <w:semiHidden/>
    <w:unhideWhenUsed/>
    <w:rsid w:val="008E217A"/>
  </w:style>
  <w:style w:type="character" w:customStyle="1" w:styleId="CommentTextChar">
    <w:name w:val="Comment Text Char"/>
    <w:basedOn w:val="DefaultParagraphFont"/>
    <w:link w:val="CommentText"/>
    <w:uiPriority w:val="99"/>
    <w:semiHidden/>
    <w:rsid w:val="008E217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217A"/>
    <w:rPr>
      <w:b/>
      <w:bCs/>
      <w:sz w:val="20"/>
      <w:szCs w:val="20"/>
    </w:rPr>
  </w:style>
  <w:style w:type="character" w:customStyle="1" w:styleId="CommentSubjectChar">
    <w:name w:val="Comment Subject Char"/>
    <w:basedOn w:val="CommentTextChar"/>
    <w:link w:val="CommentSubject"/>
    <w:uiPriority w:val="99"/>
    <w:semiHidden/>
    <w:rsid w:val="008E217A"/>
    <w:rPr>
      <w:rFonts w:ascii="Times New Roman" w:hAnsi="Times New Roman"/>
      <w:b/>
      <w:bCs/>
      <w:sz w:val="20"/>
      <w:szCs w:val="20"/>
    </w:rPr>
  </w:style>
  <w:style w:type="character" w:customStyle="1" w:styleId="apple-converted-space">
    <w:name w:val="apple-converted-space"/>
    <w:basedOn w:val="DefaultParagraphFont"/>
    <w:rsid w:val="00355012"/>
  </w:style>
  <w:style w:type="paragraph" w:styleId="Header">
    <w:name w:val="header"/>
    <w:basedOn w:val="Normal"/>
    <w:link w:val="HeaderChar"/>
    <w:uiPriority w:val="99"/>
    <w:unhideWhenUsed/>
    <w:rsid w:val="0051307F"/>
    <w:pPr>
      <w:tabs>
        <w:tab w:val="center" w:pos="4320"/>
        <w:tab w:val="right" w:pos="8640"/>
      </w:tabs>
    </w:pPr>
  </w:style>
  <w:style w:type="character" w:customStyle="1" w:styleId="HeaderChar">
    <w:name w:val="Header Char"/>
    <w:basedOn w:val="DefaultParagraphFont"/>
    <w:link w:val="Header"/>
    <w:uiPriority w:val="99"/>
    <w:rsid w:val="0051307F"/>
    <w:rPr>
      <w:rFonts w:ascii="Times New Roman" w:hAnsi="Times New Roman"/>
    </w:rPr>
  </w:style>
  <w:style w:type="character" w:styleId="PageNumber">
    <w:name w:val="page number"/>
    <w:basedOn w:val="DefaultParagraphFont"/>
    <w:uiPriority w:val="99"/>
    <w:semiHidden/>
    <w:unhideWhenUsed/>
    <w:rsid w:val="0051307F"/>
  </w:style>
  <w:style w:type="paragraph" w:styleId="Footer">
    <w:name w:val="footer"/>
    <w:basedOn w:val="Normal"/>
    <w:link w:val="FooterChar"/>
    <w:uiPriority w:val="99"/>
    <w:semiHidden/>
    <w:unhideWhenUsed/>
    <w:rsid w:val="0051307F"/>
    <w:pPr>
      <w:tabs>
        <w:tab w:val="center" w:pos="4320"/>
        <w:tab w:val="right" w:pos="8640"/>
      </w:tabs>
    </w:pPr>
  </w:style>
  <w:style w:type="character" w:customStyle="1" w:styleId="FooterChar">
    <w:name w:val="Footer Char"/>
    <w:basedOn w:val="DefaultParagraphFont"/>
    <w:link w:val="Footer"/>
    <w:uiPriority w:val="99"/>
    <w:semiHidden/>
    <w:rsid w:val="0051307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00171">
      <w:bodyDiv w:val="1"/>
      <w:marLeft w:val="0"/>
      <w:marRight w:val="0"/>
      <w:marTop w:val="0"/>
      <w:marBottom w:val="0"/>
      <w:divBdr>
        <w:top w:val="none" w:sz="0" w:space="0" w:color="auto"/>
        <w:left w:val="none" w:sz="0" w:space="0" w:color="auto"/>
        <w:bottom w:val="none" w:sz="0" w:space="0" w:color="auto"/>
        <w:right w:val="none" w:sz="0" w:space="0" w:color="auto"/>
      </w:divBdr>
    </w:div>
    <w:div w:id="103422208">
      <w:bodyDiv w:val="1"/>
      <w:marLeft w:val="0"/>
      <w:marRight w:val="0"/>
      <w:marTop w:val="0"/>
      <w:marBottom w:val="0"/>
      <w:divBdr>
        <w:top w:val="none" w:sz="0" w:space="0" w:color="auto"/>
        <w:left w:val="none" w:sz="0" w:space="0" w:color="auto"/>
        <w:bottom w:val="none" w:sz="0" w:space="0" w:color="auto"/>
        <w:right w:val="none" w:sz="0" w:space="0" w:color="auto"/>
      </w:divBdr>
    </w:div>
    <w:div w:id="185216054">
      <w:bodyDiv w:val="1"/>
      <w:marLeft w:val="0"/>
      <w:marRight w:val="0"/>
      <w:marTop w:val="0"/>
      <w:marBottom w:val="0"/>
      <w:divBdr>
        <w:top w:val="none" w:sz="0" w:space="0" w:color="auto"/>
        <w:left w:val="none" w:sz="0" w:space="0" w:color="auto"/>
        <w:bottom w:val="none" w:sz="0" w:space="0" w:color="auto"/>
        <w:right w:val="none" w:sz="0" w:space="0" w:color="auto"/>
      </w:divBdr>
      <w:divsChild>
        <w:div w:id="598410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7832069">
              <w:marLeft w:val="0"/>
              <w:marRight w:val="0"/>
              <w:marTop w:val="0"/>
              <w:marBottom w:val="0"/>
              <w:divBdr>
                <w:top w:val="none" w:sz="0" w:space="0" w:color="auto"/>
                <w:left w:val="none" w:sz="0" w:space="0" w:color="auto"/>
                <w:bottom w:val="none" w:sz="0" w:space="0" w:color="auto"/>
                <w:right w:val="none" w:sz="0" w:space="0" w:color="auto"/>
              </w:divBdr>
              <w:divsChild>
                <w:div w:id="13406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135663">
      <w:bodyDiv w:val="1"/>
      <w:marLeft w:val="0"/>
      <w:marRight w:val="0"/>
      <w:marTop w:val="0"/>
      <w:marBottom w:val="0"/>
      <w:divBdr>
        <w:top w:val="none" w:sz="0" w:space="0" w:color="auto"/>
        <w:left w:val="none" w:sz="0" w:space="0" w:color="auto"/>
        <w:bottom w:val="none" w:sz="0" w:space="0" w:color="auto"/>
        <w:right w:val="none" w:sz="0" w:space="0" w:color="auto"/>
      </w:divBdr>
    </w:div>
    <w:div w:id="395931633">
      <w:bodyDiv w:val="1"/>
      <w:marLeft w:val="0"/>
      <w:marRight w:val="0"/>
      <w:marTop w:val="0"/>
      <w:marBottom w:val="0"/>
      <w:divBdr>
        <w:top w:val="none" w:sz="0" w:space="0" w:color="auto"/>
        <w:left w:val="none" w:sz="0" w:space="0" w:color="auto"/>
        <w:bottom w:val="none" w:sz="0" w:space="0" w:color="auto"/>
        <w:right w:val="none" w:sz="0" w:space="0" w:color="auto"/>
      </w:divBdr>
    </w:div>
    <w:div w:id="530916114">
      <w:bodyDiv w:val="1"/>
      <w:marLeft w:val="0"/>
      <w:marRight w:val="0"/>
      <w:marTop w:val="0"/>
      <w:marBottom w:val="0"/>
      <w:divBdr>
        <w:top w:val="none" w:sz="0" w:space="0" w:color="auto"/>
        <w:left w:val="none" w:sz="0" w:space="0" w:color="auto"/>
        <w:bottom w:val="none" w:sz="0" w:space="0" w:color="auto"/>
        <w:right w:val="none" w:sz="0" w:space="0" w:color="auto"/>
      </w:divBdr>
    </w:div>
    <w:div w:id="540553734">
      <w:bodyDiv w:val="1"/>
      <w:marLeft w:val="0"/>
      <w:marRight w:val="0"/>
      <w:marTop w:val="0"/>
      <w:marBottom w:val="0"/>
      <w:divBdr>
        <w:top w:val="none" w:sz="0" w:space="0" w:color="auto"/>
        <w:left w:val="none" w:sz="0" w:space="0" w:color="auto"/>
        <w:bottom w:val="none" w:sz="0" w:space="0" w:color="auto"/>
        <w:right w:val="none" w:sz="0" w:space="0" w:color="auto"/>
      </w:divBdr>
    </w:div>
    <w:div w:id="899747638">
      <w:bodyDiv w:val="1"/>
      <w:marLeft w:val="0"/>
      <w:marRight w:val="0"/>
      <w:marTop w:val="0"/>
      <w:marBottom w:val="0"/>
      <w:divBdr>
        <w:top w:val="none" w:sz="0" w:space="0" w:color="auto"/>
        <w:left w:val="none" w:sz="0" w:space="0" w:color="auto"/>
        <w:bottom w:val="none" w:sz="0" w:space="0" w:color="auto"/>
        <w:right w:val="none" w:sz="0" w:space="0" w:color="auto"/>
      </w:divBdr>
    </w:div>
    <w:div w:id="935098433">
      <w:bodyDiv w:val="1"/>
      <w:marLeft w:val="0"/>
      <w:marRight w:val="0"/>
      <w:marTop w:val="0"/>
      <w:marBottom w:val="0"/>
      <w:divBdr>
        <w:top w:val="none" w:sz="0" w:space="0" w:color="auto"/>
        <w:left w:val="none" w:sz="0" w:space="0" w:color="auto"/>
        <w:bottom w:val="none" w:sz="0" w:space="0" w:color="auto"/>
        <w:right w:val="none" w:sz="0" w:space="0" w:color="auto"/>
      </w:divBdr>
      <w:divsChild>
        <w:div w:id="777914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1242543">
              <w:marLeft w:val="0"/>
              <w:marRight w:val="0"/>
              <w:marTop w:val="0"/>
              <w:marBottom w:val="0"/>
              <w:divBdr>
                <w:top w:val="none" w:sz="0" w:space="0" w:color="auto"/>
                <w:left w:val="none" w:sz="0" w:space="0" w:color="auto"/>
                <w:bottom w:val="none" w:sz="0" w:space="0" w:color="auto"/>
                <w:right w:val="none" w:sz="0" w:space="0" w:color="auto"/>
              </w:divBdr>
              <w:divsChild>
                <w:div w:id="21337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85449">
      <w:bodyDiv w:val="1"/>
      <w:marLeft w:val="0"/>
      <w:marRight w:val="0"/>
      <w:marTop w:val="0"/>
      <w:marBottom w:val="0"/>
      <w:divBdr>
        <w:top w:val="none" w:sz="0" w:space="0" w:color="auto"/>
        <w:left w:val="none" w:sz="0" w:space="0" w:color="auto"/>
        <w:bottom w:val="none" w:sz="0" w:space="0" w:color="auto"/>
        <w:right w:val="none" w:sz="0" w:space="0" w:color="auto"/>
      </w:divBdr>
    </w:div>
    <w:div w:id="969169355">
      <w:bodyDiv w:val="1"/>
      <w:marLeft w:val="0"/>
      <w:marRight w:val="0"/>
      <w:marTop w:val="0"/>
      <w:marBottom w:val="0"/>
      <w:divBdr>
        <w:top w:val="none" w:sz="0" w:space="0" w:color="auto"/>
        <w:left w:val="none" w:sz="0" w:space="0" w:color="auto"/>
        <w:bottom w:val="none" w:sz="0" w:space="0" w:color="auto"/>
        <w:right w:val="none" w:sz="0" w:space="0" w:color="auto"/>
      </w:divBdr>
    </w:div>
    <w:div w:id="971520696">
      <w:bodyDiv w:val="1"/>
      <w:marLeft w:val="0"/>
      <w:marRight w:val="0"/>
      <w:marTop w:val="0"/>
      <w:marBottom w:val="0"/>
      <w:divBdr>
        <w:top w:val="none" w:sz="0" w:space="0" w:color="auto"/>
        <w:left w:val="none" w:sz="0" w:space="0" w:color="auto"/>
        <w:bottom w:val="none" w:sz="0" w:space="0" w:color="auto"/>
        <w:right w:val="none" w:sz="0" w:space="0" w:color="auto"/>
      </w:divBdr>
    </w:div>
    <w:div w:id="986858634">
      <w:bodyDiv w:val="1"/>
      <w:marLeft w:val="0"/>
      <w:marRight w:val="0"/>
      <w:marTop w:val="0"/>
      <w:marBottom w:val="0"/>
      <w:divBdr>
        <w:top w:val="none" w:sz="0" w:space="0" w:color="auto"/>
        <w:left w:val="none" w:sz="0" w:space="0" w:color="auto"/>
        <w:bottom w:val="none" w:sz="0" w:space="0" w:color="auto"/>
        <w:right w:val="none" w:sz="0" w:space="0" w:color="auto"/>
      </w:divBdr>
    </w:div>
    <w:div w:id="1104544148">
      <w:bodyDiv w:val="1"/>
      <w:marLeft w:val="0"/>
      <w:marRight w:val="0"/>
      <w:marTop w:val="0"/>
      <w:marBottom w:val="0"/>
      <w:divBdr>
        <w:top w:val="none" w:sz="0" w:space="0" w:color="auto"/>
        <w:left w:val="none" w:sz="0" w:space="0" w:color="auto"/>
        <w:bottom w:val="none" w:sz="0" w:space="0" w:color="auto"/>
        <w:right w:val="none" w:sz="0" w:space="0" w:color="auto"/>
      </w:divBdr>
    </w:div>
    <w:div w:id="1180200593">
      <w:bodyDiv w:val="1"/>
      <w:marLeft w:val="0"/>
      <w:marRight w:val="0"/>
      <w:marTop w:val="0"/>
      <w:marBottom w:val="0"/>
      <w:divBdr>
        <w:top w:val="none" w:sz="0" w:space="0" w:color="auto"/>
        <w:left w:val="none" w:sz="0" w:space="0" w:color="auto"/>
        <w:bottom w:val="none" w:sz="0" w:space="0" w:color="auto"/>
        <w:right w:val="none" w:sz="0" w:space="0" w:color="auto"/>
      </w:divBdr>
    </w:div>
    <w:div w:id="1190528299">
      <w:bodyDiv w:val="1"/>
      <w:marLeft w:val="0"/>
      <w:marRight w:val="0"/>
      <w:marTop w:val="0"/>
      <w:marBottom w:val="0"/>
      <w:divBdr>
        <w:top w:val="none" w:sz="0" w:space="0" w:color="auto"/>
        <w:left w:val="none" w:sz="0" w:space="0" w:color="auto"/>
        <w:bottom w:val="none" w:sz="0" w:space="0" w:color="auto"/>
        <w:right w:val="none" w:sz="0" w:space="0" w:color="auto"/>
      </w:divBdr>
    </w:div>
    <w:div w:id="1225026206">
      <w:bodyDiv w:val="1"/>
      <w:marLeft w:val="0"/>
      <w:marRight w:val="0"/>
      <w:marTop w:val="0"/>
      <w:marBottom w:val="0"/>
      <w:divBdr>
        <w:top w:val="none" w:sz="0" w:space="0" w:color="auto"/>
        <w:left w:val="none" w:sz="0" w:space="0" w:color="auto"/>
        <w:bottom w:val="none" w:sz="0" w:space="0" w:color="auto"/>
        <w:right w:val="none" w:sz="0" w:space="0" w:color="auto"/>
      </w:divBdr>
    </w:div>
    <w:div w:id="1240094220">
      <w:bodyDiv w:val="1"/>
      <w:marLeft w:val="0"/>
      <w:marRight w:val="0"/>
      <w:marTop w:val="0"/>
      <w:marBottom w:val="0"/>
      <w:divBdr>
        <w:top w:val="none" w:sz="0" w:space="0" w:color="auto"/>
        <w:left w:val="none" w:sz="0" w:space="0" w:color="auto"/>
        <w:bottom w:val="none" w:sz="0" w:space="0" w:color="auto"/>
        <w:right w:val="none" w:sz="0" w:space="0" w:color="auto"/>
      </w:divBdr>
    </w:div>
    <w:div w:id="1264461293">
      <w:bodyDiv w:val="1"/>
      <w:marLeft w:val="0"/>
      <w:marRight w:val="0"/>
      <w:marTop w:val="0"/>
      <w:marBottom w:val="0"/>
      <w:divBdr>
        <w:top w:val="none" w:sz="0" w:space="0" w:color="auto"/>
        <w:left w:val="none" w:sz="0" w:space="0" w:color="auto"/>
        <w:bottom w:val="none" w:sz="0" w:space="0" w:color="auto"/>
        <w:right w:val="none" w:sz="0" w:space="0" w:color="auto"/>
      </w:divBdr>
    </w:div>
    <w:div w:id="1345742999">
      <w:bodyDiv w:val="1"/>
      <w:marLeft w:val="0"/>
      <w:marRight w:val="0"/>
      <w:marTop w:val="0"/>
      <w:marBottom w:val="0"/>
      <w:divBdr>
        <w:top w:val="none" w:sz="0" w:space="0" w:color="auto"/>
        <w:left w:val="none" w:sz="0" w:space="0" w:color="auto"/>
        <w:bottom w:val="none" w:sz="0" w:space="0" w:color="auto"/>
        <w:right w:val="none" w:sz="0" w:space="0" w:color="auto"/>
      </w:divBdr>
    </w:div>
    <w:div w:id="1397315206">
      <w:bodyDiv w:val="1"/>
      <w:marLeft w:val="0"/>
      <w:marRight w:val="0"/>
      <w:marTop w:val="0"/>
      <w:marBottom w:val="0"/>
      <w:divBdr>
        <w:top w:val="none" w:sz="0" w:space="0" w:color="auto"/>
        <w:left w:val="none" w:sz="0" w:space="0" w:color="auto"/>
        <w:bottom w:val="none" w:sz="0" w:space="0" w:color="auto"/>
        <w:right w:val="none" w:sz="0" w:space="0" w:color="auto"/>
      </w:divBdr>
    </w:div>
    <w:div w:id="1524396207">
      <w:bodyDiv w:val="1"/>
      <w:marLeft w:val="0"/>
      <w:marRight w:val="0"/>
      <w:marTop w:val="0"/>
      <w:marBottom w:val="0"/>
      <w:divBdr>
        <w:top w:val="none" w:sz="0" w:space="0" w:color="auto"/>
        <w:left w:val="none" w:sz="0" w:space="0" w:color="auto"/>
        <w:bottom w:val="none" w:sz="0" w:space="0" w:color="auto"/>
        <w:right w:val="none" w:sz="0" w:space="0" w:color="auto"/>
      </w:divBdr>
      <w:divsChild>
        <w:div w:id="5391289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5113857">
              <w:marLeft w:val="0"/>
              <w:marRight w:val="0"/>
              <w:marTop w:val="0"/>
              <w:marBottom w:val="0"/>
              <w:divBdr>
                <w:top w:val="none" w:sz="0" w:space="0" w:color="auto"/>
                <w:left w:val="none" w:sz="0" w:space="0" w:color="auto"/>
                <w:bottom w:val="none" w:sz="0" w:space="0" w:color="auto"/>
                <w:right w:val="none" w:sz="0" w:space="0" w:color="auto"/>
              </w:divBdr>
              <w:divsChild>
                <w:div w:id="18622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8133">
      <w:bodyDiv w:val="1"/>
      <w:marLeft w:val="0"/>
      <w:marRight w:val="0"/>
      <w:marTop w:val="0"/>
      <w:marBottom w:val="0"/>
      <w:divBdr>
        <w:top w:val="none" w:sz="0" w:space="0" w:color="auto"/>
        <w:left w:val="none" w:sz="0" w:space="0" w:color="auto"/>
        <w:bottom w:val="none" w:sz="0" w:space="0" w:color="auto"/>
        <w:right w:val="none" w:sz="0" w:space="0" w:color="auto"/>
      </w:divBdr>
    </w:div>
    <w:div w:id="1778208814">
      <w:bodyDiv w:val="1"/>
      <w:marLeft w:val="0"/>
      <w:marRight w:val="0"/>
      <w:marTop w:val="0"/>
      <w:marBottom w:val="0"/>
      <w:divBdr>
        <w:top w:val="none" w:sz="0" w:space="0" w:color="auto"/>
        <w:left w:val="none" w:sz="0" w:space="0" w:color="auto"/>
        <w:bottom w:val="none" w:sz="0" w:space="0" w:color="auto"/>
        <w:right w:val="none" w:sz="0" w:space="0" w:color="auto"/>
      </w:divBdr>
    </w:div>
    <w:div w:id="1823739672">
      <w:bodyDiv w:val="1"/>
      <w:marLeft w:val="0"/>
      <w:marRight w:val="0"/>
      <w:marTop w:val="0"/>
      <w:marBottom w:val="0"/>
      <w:divBdr>
        <w:top w:val="none" w:sz="0" w:space="0" w:color="auto"/>
        <w:left w:val="none" w:sz="0" w:space="0" w:color="auto"/>
        <w:bottom w:val="none" w:sz="0" w:space="0" w:color="auto"/>
        <w:right w:val="none" w:sz="0" w:space="0" w:color="auto"/>
      </w:divBdr>
    </w:div>
    <w:div w:id="1950043203">
      <w:bodyDiv w:val="1"/>
      <w:marLeft w:val="0"/>
      <w:marRight w:val="0"/>
      <w:marTop w:val="0"/>
      <w:marBottom w:val="0"/>
      <w:divBdr>
        <w:top w:val="none" w:sz="0" w:space="0" w:color="auto"/>
        <w:left w:val="none" w:sz="0" w:space="0" w:color="auto"/>
        <w:bottom w:val="none" w:sz="0" w:space="0" w:color="auto"/>
        <w:right w:val="none" w:sz="0" w:space="0" w:color="auto"/>
      </w:divBdr>
    </w:div>
    <w:div w:id="2080976203">
      <w:bodyDiv w:val="1"/>
      <w:marLeft w:val="0"/>
      <w:marRight w:val="0"/>
      <w:marTop w:val="0"/>
      <w:marBottom w:val="0"/>
      <w:divBdr>
        <w:top w:val="none" w:sz="0" w:space="0" w:color="auto"/>
        <w:left w:val="none" w:sz="0" w:space="0" w:color="auto"/>
        <w:bottom w:val="none" w:sz="0" w:space="0" w:color="auto"/>
        <w:right w:val="none" w:sz="0" w:space="0" w:color="auto"/>
      </w:divBdr>
    </w:div>
    <w:div w:id="2093890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Equation1.bin"/><Relationship Id="rId12" Type="http://schemas.openxmlformats.org/officeDocument/2006/relationships/image" Target="media/image5.emf"/><Relationship Id="rId13" Type="http://schemas.openxmlformats.org/officeDocument/2006/relationships/oleObject" Target="embeddings/Microsoft_Equation2.bin"/><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3554</Words>
  <Characters>20262</Characters>
  <Application>Microsoft Macintosh Word</Application>
  <DocSecurity>0</DocSecurity>
  <Lines>168</Lines>
  <Paragraphs>47</Paragraphs>
  <ScaleCrop>false</ScaleCrop>
  <Company/>
  <LinksUpToDate>false</LinksUpToDate>
  <CharactersWithSpaces>23769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Andy Rominger</cp:lastModifiedBy>
  <cp:revision>4</cp:revision>
  <dcterms:created xsi:type="dcterms:W3CDTF">2017-05-18T06:01:00Z</dcterms:created>
  <dcterms:modified xsi:type="dcterms:W3CDTF">2017-05-21T22:03:00Z</dcterms:modified>
</cp:coreProperties>
</file>