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32DAD6"/>
          <w:sz w:val="22"/>
          <w:szCs w:val="22"/>
        </w:rPr>
        <w:t xml:space="preserve">AJ's Data &amp; AI Lab</w:t>
      </w:r>
    </w:p>
    <w:p>
      <w:pPr>
        <w:shd w:fill="09102A" w:val="clear"/>
        <w:spacing w:before="200" w:after="40"/>
        <w:ind w:left="240" w:right="24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Executive Briefing Series</w:t>
      </w:r>
    </w:p>
    <w:p>
      <w:pPr>
        <w:shd w:fill="09102A" w:val="clear"/>
        <w:spacing w:after="40"/>
        <w:ind w:left="240" w:right="240"/>
      </w:pPr>
      <w:r>
        <w:rPr>
          <w:rFonts w:ascii="Arial" w:cs="Arial" w:eastAsia="Arial" w:hAnsi="Arial"/>
          <w:b/>
          <w:bCs/>
          <w:color w:val="32DAD6"/>
          <w:sz w:val="28"/>
          <w:szCs w:val="28"/>
        </w:rPr>
        <w:t xml:space="preserve">Topic Bank, Authoring Kit &amp; Sample Article</w:t>
      </w:r>
    </w:p>
    <w:p>
      <w:pPr>
        <w:shd w:fill="09102A" w:val="clear"/>
        <w:spacing w:after="200"/>
        <w:ind w:left="240" w:right="240"/>
      </w:pPr>
      <w:r>
        <w:rPr>
          <w:rFonts w:ascii="Arial" w:cs="Arial" w:eastAsia="Arial" w:hAnsi="Arial"/>
          <w:color w:val="A0AEC0"/>
          <w:sz w:val="20"/>
          <w:szCs w:val="20"/>
        </w:rPr>
        <w:t xml:space="preserve">Research-backed topics for senior leaders — CTOs, CEOs, VPs, Heads of Data &amp; AI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9102A"/>
          <w:sz w:val="18"/>
          <w:szCs w:val="18"/>
        </w:rPr>
        <w:t xml:space="preserve">  Sources: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C0392B" w:val="clear"/>
        </w:rPr>
        <w:t xml:space="preserve">  HBR  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8E44AD" w:val="clear"/>
        </w:rPr>
        <w:t xml:space="preserve">  MIT Sloan  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2980B9" w:val="clear"/>
        </w:rPr>
        <w:t xml:space="preserve">  Gartner  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27AE60" w:val="clear"/>
        </w:rPr>
        <w:t xml:space="preserve">  BCG  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E74C3C" w:val="clear"/>
        </w:rPr>
        <w:t xml:space="preserve">  Stanford HAI  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691E7" w:val="clear"/>
        </w:rPr>
        <w:t xml:space="preserve">  12 Topics  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09102A" w:val="clear"/>
        </w:rPr>
        <w:t xml:space="preserve">  90-Second Reads  </w:t>
      </w:r>
      <w:r>
        <w:t xml:space="preserve">   </w:t>
      </w:r>
      <w:r>
        <w:rPr>
          <w:rFonts w:ascii="Arial" w:cs="Arial" w:eastAsia="Arial" w:hAnsi="Arial"/>
          <w:b/>
          <w:bCs/>
          <w:color w:val="09102A"/>
          <w:sz w:val="18"/>
          <w:szCs w:val="18"/>
          <w:shd w:fill="32DAD6" w:val="clear"/>
        </w:rPr>
        <w:t xml:space="preserve">  Master Prompt Included  </w:t>
      </w:r>
    </w:p>
    <w:p>
      <w:pPr>
        <w:pBdr>
          <w:bottom w:val="single" w:color="32DAD6" w:sz="4" w:space="1"/>
        </w:pBdr>
        <w:spacing w:before="80"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9102A"/>
          <w:sz w:val="32"/>
          <w:szCs w:val="32"/>
        </w:rPr>
        <w:t xml:space="preserve">What's Inside This Document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9102A"/>
          <w:sz w:val="20"/>
          <w:szCs w:val="20"/>
        </w:rPr>
        <w:t xml:space="preserve">Section 1: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The Master Prompt — use this every time you ask Claude to write a new article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9102A"/>
          <w:sz w:val="20"/>
          <w:szCs w:val="20"/>
        </w:rPr>
        <w:t xml:space="preserve">Section 2: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Article Structure &amp; Format Guide — the canonical template for every Executive Briefing piece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9102A"/>
          <w:sz w:val="20"/>
          <w:szCs w:val="20"/>
        </w:rPr>
        <w:t xml:space="preserve">Section 3: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Topic Bank — 12 research-backed topics ready to brief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9102A"/>
          <w:sz w:val="20"/>
          <w:szCs w:val="20"/>
        </w:rPr>
        <w:t xml:space="preserve">Section 4: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Sample Article — a fully formatted example for reference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9102A"/>
          <w:sz w:val="20"/>
          <w:szCs w:val="20"/>
        </w:rPr>
        <w:t xml:space="preserve">Section 5: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Full Reference List — all source links in one place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9102A"/>
          <w:sz w:val="32"/>
          <w:szCs w:val="32"/>
        </w:rPr>
        <w:t xml:space="preserve">Section 1: The Master Prompt</w:t>
      </w:r>
    </w:p>
    <w:p>
      <w:pPr>
        <w:shd w:fill="09102A" w:val="clear"/>
        <w:spacing w:before="160" w:after="80"/>
        <w:ind w:left="240" w:righ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THE MASTER PROMPT — Executive Briefing Series</w:t>
      </w:r>
    </w:p>
    <w:p>
      <w:pPr>
        <w:shd w:fill="09102A" w:val="clear"/>
        <w:spacing w:after="200"/>
        <w:ind w:left="240" w:right="240"/>
      </w:pPr>
      <w:r>
        <w:rPr>
          <w:rFonts w:ascii="Arial" w:cs="Arial" w:eastAsia="Arial" w:hAnsi="Arial"/>
          <w:color w:val="32DAD6"/>
          <w:sz w:val="20"/>
          <w:szCs w:val="20"/>
        </w:rPr>
        <w:t xml:space="preserve">Use this prompt each time you want Claude to generate a new Executive Briefing article.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─── COPY &amp; USE BELOW ───────────────────────────────────────</w:t>
      </w:r>
    </w:p>
    <w:p>
      <w:pPr>
        <w:spacing w:before="100" w:after="80"/>
        <w:ind w:left="2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You are helping me write an article for "Executive Briefing — For Decision Makers," a content stream on my thought leadership platform "AJ's Data &amp; AI Lab."</w:t>
      </w:r>
    </w:p>
    <w:p>
      <w:pPr>
        <w:spacing w:after="80"/>
        <w:ind w:left="2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AUDIENCE: VP, Sr. Director, CTO, CEO, Head of Data &amp; AI, CDO, Sr. Manager — busy senior leaders who need signal, not noise.</w:t>
      </w:r>
    </w:p>
    <w:p>
      <w:pPr>
        <w:spacing w:before="80" w:after="60"/>
        <w:ind w:left="240"/>
      </w:pPr>
      <w:r>
        <w:rPr>
          <w:rFonts w:ascii="Arial" w:cs="Arial" w:eastAsia="Arial" w:hAnsi="Arial"/>
          <w:b/>
          <w:bCs/>
          <w:color w:val="09102A"/>
          <w:sz w:val="20"/>
          <w:szCs w:val="20"/>
        </w:rPr>
        <w:t xml:space="preserve">FORMAT RULES: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Reading time: 90 seconds maximum (approx. 200–250 words of body content)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Tone: Authoritative, concise, practitioner-led — not academic, not prescriptive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Avoid buzzword-only sentences. Every claim must carry a concrete insight or data 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fluff introductions. Open with the tension or the insight immediately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Close with a sharp, memorable Practitioner's Take — 1–2 sentences max</w:t>
      </w:r>
    </w:p>
    <w:p>
      <w:pPr>
        <w:spacing w:before="120" w:after="60"/>
        <w:ind w:left="240"/>
      </w:pPr>
      <w:r>
        <w:rPr>
          <w:rFonts w:ascii="Arial" w:cs="Arial" w:eastAsia="Arial" w:hAnsi="Arial"/>
          <w:b/>
          <w:bCs/>
          <w:color w:val="09102A"/>
          <w:sz w:val="20"/>
          <w:szCs w:val="20"/>
        </w:rPr>
        <w:t xml:space="preserve">REQUIRED STRUCTURE (in order):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TITLE: Provocative, benefit-forward, max 10 words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TAGLINE: One-line context setter for the reader (what &amp; why it matters now)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INSIGHT: 2–3 short paragraphs. Lead with what changed or why it matters. Include at least one data point or research citation. Translate implications for a senior leader's decision horizon.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WHAT THIS MEANS FOR YOU: 3 crisp bullet points — each a direct leadership action or decision frame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PRACTITIONER'S TAKE: 1–2 sentences from a practitioner POV (can reflect Arnay's voice — senior data/AI leader, practitioner, not theorist)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SOURCE REFERENCES: 2–4 reputable citations (HBR, MIT Sloan, Gartner, BCG, Stanford HAI, Wharton, INSEAD, etc.)</w:t>
      </w:r>
    </w:p>
    <w:p>
      <w:pPr>
        <w:spacing w:before="120" w:after="60"/>
        <w:ind w:left="240"/>
      </w:pPr>
      <w:r>
        <w:rPr>
          <w:rFonts w:ascii="Arial" w:cs="Arial" w:eastAsia="Arial" w:hAnsi="Arial"/>
          <w:b/>
          <w:bCs/>
          <w:color w:val="73BF50"/>
          <w:sz w:val="20"/>
          <w:szCs w:val="20"/>
        </w:rPr>
        <w:t xml:space="preserve">TOPIC TO WRITE ABOUT:</w:t>
      </w:r>
    </w:p>
    <w:p>
      <w:pPr>
        <w:spacing w:after="60"/>
        <w:ind w:left="2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[INSERT TOPIC TITLE FROM THE TOPIC BANK BELOW]</w:t>
      </w:r>
    </w:p>
    <w:p>
      <w:pPr>
        <w:spacing w:before="80" w:after="60"/>
        <w:ind w:left="240"/>
      </w:pPr>
      <w:r>
        <w:rPr>
          <w:rFonts w:ascii="Arial" w:cs="Arial" w:eastAsia="Arial" w:hAnsi="Arial"/>
          <w:b/>
          <w:bCs/>
          <w:color w:val="73BF50"/>
          <w:sz w:val="20"/>
          <w:szCs w:val="20"/>
        </w:rPr>
        <w:t xml:space="preserve">CONTENT PILLAR:</w:t>
      </w:r>
    </w:p>
    <w:p>
      <w:pPr>
        <w:spacing w:after="60"/>
        <w:ind w:left="2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[INSERT PILLAR: Data &amp; AI Strategy — Think | Products &amp; Platform Innovation — Build | Governed Execution at Scale — Deliver | Impact Through Leadership — Lead]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─── END OF PROMPT ───────────────────────────────────────────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9102A"/>
          <w:sz w:val="32"/>
          <w:szCs w:val="32"/>
        </w:rPr>
        <w:t xml:space="preserve">Section 2: Article Structure &amp; Format Guide</w:t>
      </w:r>
    </w:p>
    <w:p>
      <w:pPr>
        <w:shd w:fill="0691E7" w:val="clear"/>
        <w:spacing w:before="200" w:after="80"/>
        <w:ind w:left="240" w:righ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ARTICLE STRUCTURE &amp; FORMAT GUIDE</w:t>
      </w:r>
    </w:p>
    <w:p>
      <w:pPr>
        <w:shd w:fill="0691E7" w:val="clear"/>
        <w:spacing w:after="200"/>
        <w:ind w:left="240" w:right="240"/>
      </w:pPr>
      <w:r>
        <w:rPr>
          <w:rFonts w:ascii="Arial" w:cs="Arial" w:eastAsia="Arial" w:hAnsi="Arial"/>
          <w:color w:val="F0F9FF"/>
          <w:sz w:val="20"/>
          <w:szCs w:val="20"/>
        </w:rPr>
        <w:t xml:space="preserve">Every Executive Briefing article follows this exact structure, in order.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32DAD6" w:sz="1"/>
              <w:left w:val="single" w:color="32DAD6" w:sz="1"/>
              <w:bottom w:val="single" w:color="32DAD6" w:sz="1"/>
              <w:right w:val="single" w:color="32DAD6" w:sz="1"/>
            </w:tcBorders>
            <w:shd w:fill="09102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2DAD6"/>
                <w:sz w:val="20"/>
                <w:szCs w:val="20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32DAD6" w:sz="1"/>
              <w:left w:val="single" w:color="32DAD6" w:sz="1"/>
              <w:bottom w:val="single" w:color="32DAD6" w:sz="1"/>
              <w:right w:val="single" w:color="32DAD6" w:sz="1"/>
            </w:tcBorders>
            <w:shd w:fill="09102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2DAD6"/>
                <w:sz w:val="20"/>
                <w:szCs w:val="20"/>
              </w:rPr>
              <w:t xml:space="preserve">GUIDANCE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9102A"/>
                <w:sz w:val="19"/>
                <w:szCs w:val="19"/>
              </w:rPr>
              <w:t xml:space="preserve">🏷  Stream Label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Executive Briefing — For Decision Makers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9102A"/>
                <w:sz w:val="19"/>
                <w:szCs w:val="19"/>
              </w:rPr>
              <w:t xml:space="preserve">📌 Title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Provocative &amp; benefit-forward. Max 10 words. Should create a sense of urgency or curiosity.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9102A"/>
                <w:sz w:val="19"/>
                <w:szCs w:val="19"/>
              </w:rPr>
              <w:t xml:space="preserve">💡 Tagline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One sentence. Answers: What is this about, and why does it matter right now?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9102A"/>
                <w:sz w:val="19"/>
                <w:szCs w:val="19"/>
              </w:rPr>
              <w:t xml:space="preserve">📊 The Insight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2–3 short paragraphs. Lead with the tension or shift. Include ≥1 data point or citation. Translate research into decision-relevant insight for a VP/CTO/CEO.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9102A"/>
                <w:sz w:val="19"/>
                <w:szCs w:val="19"/>
              </w:rPr>
              <w:t xml:space="preserve">✅ What This Means For You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Exactly 3 bullet points. Each bullet = a leadership action, a decision frame, or a risk to manage. Start each with a verb.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9102A"/>
                <w:sz w:val="19"/>
                <w:szCs w:val="19"/>
              </w:rPr>
              <w:t xml:space="preserve">🧠 Practitioner's Take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1–2 sentences. Arnay's voice. Practitioner wisdom, not just summary. Bold, memorable, honest.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9102A"/>
                <w:sz w:val="19"/>
                <w:szCs w:val="19"/>
              </w:rPr>
              <w:t xml:space="preserve">📚 Source References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2–4 sources. Prefer: HBR, MIT Sloan, Gartner, BCG, Stanford HAI, Wharton, INSEAD, McKinsey Global Institute.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9102A"/>
                <w:sz w:val="19"/>
                <w:szCs w:val="19"/>
              </w:rPr>
              <w:t xml:space="preserve">🏛  Content Pillar Tag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Tag with one of the four pillars: Think / Build / Deliver / Lead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9102A"/>
                <w:sz w:val="19"/>
                <w:szCs w:val="19"/>
              </w:rPr>
              <w:t xml:space="preserve">⏱  Reading Time Target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90 seconds. Approx 200–250 words of body text total.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9102A"/>
          <w:sz w:val="32"/>
          <w:szCs w:val="32"/>
        </w:rPr>
        <w:t xml:space="preserve">Section 3: Topic Bank — 12 Research-Backed Topics</w:t>
      </w:r>
    </w:p>
    <w:p>
      <w:pPr>
        <w:spacing w:after="1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All 12 topics are grounded in the latest research from HBR, MIT Sloan, Gartner, BCG, and related institutions (Q4 2025 – Q1 2026). Each is scoped for a 90-second executive read.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2200"/>
        <w:gridCol w:w="1700"/>
        <w:gridCol w:w="1160"/>
      </w:tblGrid>
      <w:tr>
        <w:trPr>
          <w:tblHeader/>
        </w:trPr>
        <w:tc>
          <w:tcPr>
            <w:tcW w:type="dxa" w:w="500"/>
            <w:tcBorders>
              <w:top w:val="single" w:color="32DAD6" w:sz="1"/>
              <w:left w:val="single" w:color="32DAD6" w:sz="1"/>
              <w:bottom w:val="single" w:color="32DAD6" w:sz="1"/>
              <w:right w:val="single" w:color="32DAD6" w:sz="1"/>
            </w:tcBorders>
            <w:shd w:fill="0910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2DAD6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32DAD6" w:sz="1"/>
              <w:left w:val="single" w:color="32DAD6" w:sz="1"/>
              <w:bottom w:val="single" w:color="32DAD6" w:sz="1"/>
              <w:right w:val="single" w:color="32DAD6" w:sz="1"/>
            </w:tcBorders>
            <w:shd w:fill="0910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2DAD6"/>
                <w:sz w:val="18"/>
                <w:szCs w:val="18"/>
              </w:rPr>
              <w:t xml:space="preserve">Topic Title</w:t>
            </w:r>
          </w:p>
        </w:tc>
        <w:tc>
          <w:tcPr>
            <w:tcW w:type="dxa" w:w="2200"/>
            <w:tcBorders>
              <w:top w:val="single" w:color="32DAD6" w:sz="1"/>
              <w:left w:val="single" w:color="32DAD6" w:sz="1"/>
              <w:bottom w:val="single" w:color="32DAD6" w:sz="1"/>
              <w:right w:val="single" w:color="32DAD6" w:sz="1"/>
            </w:tcBorders>
            <w:shd w:fill="0910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2DAD6"/>
                <w:sz w:val="18"/>
                <w:szCs w:val="18"/>
              </w:rPr>
              <w:t xml:space="preserve">Content Pillar</w:t>
            </w:r>
          </w:p>
        </w:tc>
        <w:tc>
          <w:tcPr>
            <w:tcW w:type="dxa" w:w="1700"/>
            <w:tcBorders>
              <w:top w:val="single" w:color="32DAD6" w:sz="1"/>
              <w:left w:val="single" w:color="32DAD6" w:sz="1"/>
              <w:bottom w:val="single" w:color="32DAD6" w:sz="1"/>
              <w:right w:val="single" w:color="32DAD6" w:sz="1"/>
            </w:tcBorders>
            <w:shd w:fill="0910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2DAD6"/>
                <w:sz w:val="18"/>
                <w:szCs w:val="18"/>
              </w:rPr>
              <w:t xml:space="preserve">Primary Source</w:t>
            </w:r>
          </w:p>
        </w:tc>
        <w:tc>
          <w:tcPr>
            <w:tcW w:type="dxa" w:w="1160"/>
            <w:tcBorders>
              <w:top w:val="single" w:color="32DAD6" w:sz="1"/>
              <w:left w:val="single" w:color="32DAD6" w:sz="1"/>
              <w:bottom w:val="single" w:color="32DAD6" w:sz="1"/>
              <w:right w:val="single" w:color="32DAD6" w:sz="1"/>
            </w:tcBorders>
            <w:shd w:fill="0910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2DAD6"/>
                <w:sz w:val="18"/>
                <w:szCs w:val="18"/>
              </w:rPr>
              <w:t xml:space="preserve">Ref Link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91E7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9102A"/>
                <w:sz w:val="18"/>
                <w:szCs w:val="18"/>
              </w:rPr>
              <w:t xml:space="preserve">The AI Bubble Is Leaking — What Smart Leaders Should Do Before It Bursts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MIT Sloan's Davenport &amp; Bean warn the AI bubble will likely deflate in 2026, mirroring dot-com patterns. Leaders who are over-invested in hype need a value-realization strategy now.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3BF50"/>
                <w:sz w:val="17"/>
                <w:szCs w:val="17"/>
              </w:rPr>
              <w:t xml:space="preserve">Data &amp; AI Strategy — Think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MIT Sloan + HBR (2026)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hyperlink w:history="1" r:id="rIdjkcai4du5y2rcprukugfo">
              <w:r>
                <w:rPr>
                  <w:rFonts w:ascii="Arial" w:cs="Arial" w:eastAsia="Arial" w:hAnsi="Arial"/>
                  <w:color w:val="0691E7"/>
                  <w:sz w:val="17"/>
                  <w:szCs w:val="17"/>
                  <w:u w:val="single"/>
                </w:rPr>
                <w:t xml:space="preserve">→ Source</w:t>
              </w:r>
            </w:hyperlink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91E7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9102A"/>
                <w:sz w:val="18"/>
                <w:szCs w:val="18"/>
              </w:rPr>
              <w:t xml:space="preserve">From Tool to Coworker: How Agentic AI Rewrites the Management Playbook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MIT SMR / BCG research on 2,100+ leaders shows agentic AI creates 4 operational tensions that no existing management framework resolves. Boards and C-suites need new governance models urgently.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3BF50"/>
                <w:sz w:val="17"/>
                <w:szCs w:val="17"/>
              </w:rPr>
              <w:t xml:space="preserve">Data &amp; AI Strategy — Think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MIT Sloan + BCG (2025)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hyperlink w:history="1" r:id="rIdr4he7vfapjvz07bvbqsvk">
              <w:r>
                <w:rPr>
                  <w:rFonts w:ascii="Arial" w:cs="Arial" w:eastAsia="Arial" w:hAnsi="Arial"/>
                  <w:color w:val="0691E7"/>
                  <w:sz w:val="17"/>
                  <w:szCs w:val="17"/>
                  <w:u w:val="single"/>
                </w:rPr>
                <w:t xml:space="preserve">→ Source</w:t>
              </w:r>
            </w:hyperlink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91E7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9102A"/>
                <w:sz w:val="18"/>
                <w:szCs w:val="18"/>
              </w:rPr>
              <w:t xml:space="preserve">Your GenAI Is an Individual Productivity Tool. It Needs to Become an Enterprise One.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Most companies deployed GenAI at the individual level. Davenport/Bean show this produces unmeasurable incremental gains. The shift to enterprise-level GenAI orchestration — 'AI factories' — is the 2026 mandate.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3BF50"/>
                <w:sz w:val="17"/>
                <w:szCs w:val="17"/>
              </w:rPr>
              <w:t xml:space="preserve">Data &amp; AI Strategy — Think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MIT Sloan (2026)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hyperlink w:history="1" r:id="rIdqvdpx-a3jpzo7asaudmyf">
              <w:r>
                <w:rPr>
                  <w:rFonts w:ascii="Arial" w:cs="Arial" w:eastAsia="Arial" w:hAnsi="Arial"/>
                  <w:color w:val="0691E7"/>
                  <w:sz w:val="17"/>
                  <w:szCs w:val="17"/>
                  <w:u w:val="single"/>
                </w:rPr>
                <w:t xml:space="preserve">→ Source</w:t>
              </w:r>
            </w:hyperlink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91E7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9102A"/>
                <w:sz w:val="18"/>
                <w:szCs w:val="18"/>
              </w:rPr>
              <w:t xml:space="preserve">Critical Thinking Is the New Scarcity — And GenAI Is Why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Gartner predicts 50% of global organizations will require 'AI-free' skills assessments by 2026 as GenAI use erodes independent reasoning. This is a direct talent and hiring strategy signal for senior leaders.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3BF50"/>
                <w:sz w:val="17"/>
                <w:szCs w:val="17"/>
              </w:rPr>
              <w:t xml:space="preserve">Impact Through Leadership — Lead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Gartner (2025/2026)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hyperlink w:history="1" r:id="rIdzblnhu0zdl46mbai6pqgw">
              <w:r>
                <w:rPr>
                  <w:rFonts w:ascii="Arial" w:cs="Arial" w:eastAsia="Arial" w:hAnsi="Arial"/>
                  <w:color w:val="0691E7"/>
                  <w:sz w:val="17"/>
                  <w:szCs w:val="17"/>
                  <w:u w:val="single"/>
                </w:rPr>
                <w:t xml:space="preserve">→ Source</w:t>
              </w:r>
            </w:hyperlink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91E7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9102A"/>
                <w:sz w:val="18"/>
                <w:szCs w:val="18"/>
              </w:rPr>
              <w:t xml:space="preserve">When AI Gets It Wrong, Who Pays? The Executive Liability Reckoning Arrives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By end of 2026, 'death by AI' legal claims are forecast to exceed 2,000. Only 6% of organizations have an advanced AI security strategy. Executive liability for AI failures is no longer theoretical.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3BF50"/>
                <w:sz w:val="17"/>
                <w:szCs w:val="17"/>
              </w:rPr>
              <w:t xml:space="preserve">Governed Execution at Scale — Deliver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Gartner + HBR (2025/2026)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hyperlink w:history="1" r:id="rIdlx15ttxejwpi_pvjnimrs">
              <w:r>
                <w:rPr>
                  <w:rFonts w:ascii="Arial" w:cs="Arial" w:eastAsia="Arial" w:hAnsi="Arial"/>
                  <w:color w:val="0691E7"/>
                  <w:sz w:val="17"/>
                  <w:szCs w:val="17"/>
                  <w:u w:val="single"/>
                </w:rPr>
                <w:t xml:space="preserve">→ Source</w:t>
              </w:r>
            </w:hyperlink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91E7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9102A"/>
                <w:sz w:val="18"/>
                <w:szCs w:val="18"/>
              </w:rPr>
              <w:t xml:space="preserve">AI ROI Is the Only Metric That Matters in 2026 — Here's How to Measure It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HBR survey shows leaders remain bullish on AI, yet ROI evidence is uneven. Google Cloud's data shows 70% report productivity gains, but security and marketing lag. Leaders need a multi-dimensional ROI framework.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3BF50"/>
                <w:sz w:val="17"/>
                <w:szCs w:val="17"/>
              </w:rPr>
              <w:t xml:space="preserve">Governed Execution at Scale — Deliver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HBR + Google Cloud (2026)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hyperlink w:history="1" r:id="rId8jbqljnvoyhjwybzgjnxv">
              <w:r>
                <w:rPr>
                  <w:rFonts w:ascii="Arial" w:cs="Arial" w:eastAsia="Arial" w:hAnsi="Arial"/>
                  <w:color w:val="0691E7"/>
                  <w:sz w:val="17"/>
                  <w:szCs w:val="17"/>
                  <w:u w:val="single"/>
                </w:rPr>
                <w:t xml:space="preserve">→ Source</w:t>
              </w:r>
            </w:hyperlink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91E7"/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9102A"/>
                <w:sz w:val="18"/>
                <w:szCs w:val="18"/>
              </w:rPr>
              <w:t xml:space="preserve">Half of All Business Decisions Will Be AI-Augmented by 2027. Is Your Team Ready?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Gartner's summit-level research signals that by 2027, 50% of business decisions will be AI-augmented or automated. Most organizations are not structurally prepared for this shift in decision architecture.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3BF50"/>
                <w:sz w:val="17"/>
                <w:szCs w:val="17"/>
              </w:rPr>
              <w:t xml:space="preserve">Data &amp; AI Strategy — Think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Gartner Data &amp; Analytics Summit (2026)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hyperlink w:history="1" r:id="rIdydjt-ldasnehen4r9necl">
              <w:r>
                <w:rPr>
                  <w:rFonts w:ascii="Arial" w:cs="Arial" w:eastAsia="Arial" w:hAnsi="Arial"/>
                  <w:color w:val="0691E7"/>
                  <w:sz w:val="17"/>
                  <w:szCs w:val="17"/>
                  <w:u w:val="single"/>
                </w:rPr>
                <w:t xml:space="preserve">→ Source</w:t>
              </w:r>
            </w:hyperlink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91E7"/>
                <w:sz w:val="18"/>
                <w:szCs w:val="18"/>
              </w:rPr>
              <w:t xml:space="preserve">8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9102A"/>
                <w:sz w:val="18"/>
                <w:szCs w:val="18"/>
              </w:rPr>
              <w:t xml:space="preserve">Data Without Governance Is a Liability, Not an Asset — The CDO Moment Has Arrived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MIT SMR survey shows 70% of leaders now see CDO as an established and successful role (a 20%+ jump in one year). Meanwhile, Gartner predicts governance gaps will cause 50% of agentic AI deployment failures by 2030.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3BF50"/>
                <w:sz w:val="17"/>
                <w:szCs w:val="17"/>
              </w:rPr>
              <w:t xml:space="preserve">Governed Execution at Scale — Deliver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MIT Sloan (2026) + Gartner (2026)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hyperlink w:history="1" r:id="rIdl4wp5tjjp_phxgatdr9-v">
              <w:r>
                <w:rPr>
                  <w:rFonts w:ascii="Arial" w:cs="Arial" w:eastAsia="Arial" w:hAnsi="Arial"/>
                  <w:color w:val="0691E7"/>
                  <w:sz w:val="17"/>
                  <w:szCs w:val="17"/>
                  <w:u w:val="single"/>
                </w:rPr>
                <w:t xml:space="preserve">→ Source</w:t>
              </w:r>
            </w:hyperlink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91E7"/>
                <w:sz w:val="18"/>
                <w:szCs w:val="18"/>
              </w:rPr>
              <w:t xml:space="preserve">9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9102A"/>
                <w:sz w:val="18"/>
                <w:szCs w:val="18"/>
              </w:rPr>
              <w:t xml:space="preserve">The $58 Billion Disruption: Why Your Productivity Stack Is About to Be Replaced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Gartner predicts GenAI and agentic workflows will trigger the first serious challenge to mainstream productivity tools in 35 years — a $58B market shake-up. CTOs and product leaders must evaluate incumbent platform dependencies now.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3BF50"/>
                <w:sz w:val="17"/>
                <w:szCs w:val="17"/>
              </w:rPr>
              <w:t xml:space="preserve">Products &amp; Platform Innovation — Build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Gartner (2025)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hyperlink w:history="1" r:id="rId2addwqaxroo15ziaz-cpq">
              <w:r>
                <w:rPr>
                  <w:rFonts w:ascii="Arial" w:cs="Arial" w:eastAsia="Arial" w:hAnsi="Arial"/>
                  <w:color w:val="0691E7"/>
                  <w:sz w:val="17"/>
                  <w:szCs w:val="17"/>
                  <w:u w:val="single"/>
                </w:rPr>
                <w:t xml:space="preserve">→ Source</w:t>
              </w:r>
            </w:hyperlink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91E7"/>
                <w:sz w:val="18"/>
                <w:szCs w:val="18"/>
              </w:rPr>
              <w:t xml:space="preserve">10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9102A"/>
                <w:sz w:val="18"/>
                <w:szCs w:val="18"/>
              </w:rPr>
              <w:t xml:space="preserve">AI Agents Are Not Ready for Prime Time — But You Still Need a Strategy for Them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MIT researchers confirm AI agents make too many errors for high-stakes business use, and 80% of agent project effort is in unglamorous data engineering and governance. Yet 44% of enterprises plan deployment soon. The gap between aspiration and readiness is a strategic risk.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3BF50"/>
                <w:sz w:val="17"/>
                <w:szCs w:val="17"/>
              </w:rPr>
              <w:t xml:space="preserve">Data &amp; AI Strategy — Think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MIT Sloan (2026) + MIT / BCG (2025)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hyperlink w:history="1" r:id="rIdqk9ksmt9lm_uu7_ggqip6">
              <w:r>
                <w:rPr>
                  <w:rFonts w:ascii="Arial" w:cs="Arial" w:eastAsia="Arial" w:hAnsi="Arial"/>
                  <w:color w:val="0691E7"/>
                  <w:sz w:val="17"/>
                  <w:szCs w:val="17"/>
                  <w:u w:val="single"/>
                </w:rPr>
                <w:t xml:space="preserve">→ Source</w:t>
              </w:r>
            </w:hyperlink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91E7"/>
                <w:sz w:val="18"/>
                <w:szCs w:val="18"/>
              </w:rPr>
              <w:t xml:space="preserve">11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9102A"/>
                <w:sz w:val="18"/>
                <w:szCs w:val="18"/>
              </w:rPr>
              <w:t xml:space="preserve">Flatten, Automate, Accelerate: What AI Means for Middle Management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Gartner predicts 20% of organizations will use AI to flatten structures, eliminating over half of middle management roles by 2026. HR and people leaders need transition strategies, not just org chart changes.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3BF50"/>
                <w:sz w:val="17"/>
                <w:szCs w:val="17"/>
              </w:rPr>
              <w:t xml:space="preserve">Impact Through Leadership — Lead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Gartner / SHRM (2024/2025)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hyperlink w:history="1" r:id="rIdg2evtigkkibxafpjvhbhj">
              <w:r>
                <w:rPr>
                  <w:rFonts w:ascii="Arial" w:cs="Arial" w:eastAsia="Arial" w:hAnsi="Arial"/>
                  <w:color w:val="0691E7"/>
                  <w:sz w:val="17"/>
                  <w:szCs w:val="17"/>
                  <w:u w:val="single"/>
                </w:rPr>
                <w:t xml:space="preserve">→ Source</w:t>
              </w:r>
            </w:hyperlink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91E7"/>
                <w:sz w:val="18"/>
                <w:szCs w:val="18"/>
              </w:rPr>
              <w:t xml:space="preserve">12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9102A"/>
                <w:sz w:val="18"/>
                <w:szCs w:val="18"/>
              </w:rPr>
              <w:t xml:space="preserve">Building an AI Factory: The Infrastructure Bet That Will Define Your AI Returns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Davenport and Bean point to companies like P&amp;G and Intuit as early 'AI factory' builders — unified infrastructures that house data, models, and pipelines across analytical, generative, and agentic AI. This is the architecture pattern behind the leaders pulling away from the pack.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3BF50"/>
                <w:sz w:val="17"/>
                <w:szCs w:val="17"/>
              </w:rPr>
              <w:t xml:space="preserve">Products &amp; Platform Innovation — Build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MIT Sloan (2026)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hyperlink w:history="1" r:id="rId70ko44msbs55ja9dr355j">
              <w:r>
                <w:rPr>
                  <w:rFonts w:ascii="Arial" w:cs="Arial" w:eastAsia="Arial" w:hAnsi="Arial"/>
                  <w:color w:val="0691E7"/>
                  <w:sz w:val="17"/>
                  <w:szCs w:val="17"/>
                  <w:u w:val="single"/>
                </w:rPr>
                <w:t xml:space="preserve">→ Source</w:t>
              </w:r>
            </w:hyperlink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9102A"/>
          <w:sz w:val="32"/>
          <w:szCs w:val="32"/>
        </w:rPr>
        <w:t xml:space="preserve">Section 4: Sample Article (Fully Formatted)</w:t>
      </w:r>
    </w:p>
    <w:p>
      <w:pPr>
        <w:shd w:fill="1A1A2E" w:val="clear"/>
        <w:spacing w:before="200" w:after="80"/>
        <w:ind w:left="240" w:righ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SAMPLE ARTICLE — Fully Formatted</w:t>
      </w:r>
    </w:p>
    <w:p>
      <w:pPr>
        <w:shd w:fill="1A1A2E" w:val="clear"/>
        <w:spacing w:after="200"/>
        <w:ind w:left="240" w:right="240"/>
      </w:pPr>
      <w:r>
        <w:rPr>
          <w:rFonts w:ascii="Arial" w:cs="Arial" w:eastAsia="Arial" w:hAnsi="Arial"/>
          <w:color w:val="32DAD6"/>
          <w:sz w:val="20"/>
          <w:szCs w:val="20"/>
        </w:rPr>
        <w:t xml:space="preserve">Topic #6: AI ROI Is the Only Metric That Matters in 2026 — Here's How to Measure It</w:t>
      </w:r>
    </w:p>
    <w:p>
      <w:pPr>
        <w:spacing w:before="160" w:after="16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0691E7" w:val="clear"/>
        </w:rPr>
        <w:t xml:space="preserve">  EXECUTIVE BRIEFING  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73BF50" w:val="clear"/>
        </w:rPr>
        <w:t xml:space="preserve">  Governed Execution at Scale — Deliver  </w:t>
      </w:r>
      <w:r>
        <w:t xml:space="preserve">   </w:t>
      </w:r>
      <w:r>
        <w:rPr>
          <w:rFonts w:ascii="Arial" w:cs="Arial" w:eastAsia="Arial" w:hAnsi="Arial"/>
          <w:b/>
          <w:bCs/>
          <w:color w:val="09102A"/>
          <w:sz w:val="17"/>
          <w:szCs w:val="17"/>
          <w:shd w:fill="E5E7EB" w:val="clear"/>
        </w:rPr>
        <w:t xml:space="preserve">  ⏱ 90-Second Read  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09102A"/>
          <w:sz w:val="36"/>
          <w:szCs w:val="36"/>
        </w:rPr>
        <w:t xml:space="preserve">AI ROI Is the Only Metric That Matters in 2026 — Here's How to Measure It</w:t>
      </w:r>
    </w:p>
    <w:p>
      <w:pPr>
        <w:pBdr>
          <w:left w:val="single" w:color="32DAD6" w:sz="12" w:space="10"/>
        </w:pBdr>
        <w:spacing w:after="160"/>
        <w:ind w:left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Executive enthusiasm for AI remains high — but scattered, anecdotal value evidence is no longer sufficient. 2026 demands a rigorous, multi-dimensional ROI framework.</w:t>
      </w:r>
    </w:p>
    <w:p>
      <w:pPr>
        <w:pBdr>
          <w:bottom w:val="single" w:color="D1D5DB" w:sz="4" w:space="1"/>
        </w:pBdr>
        <w:spacing w:before="8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691E7"/>
          <w:sz w:val="20"/>
          <w:szCs w:val="20"/>
        </w:rPr>
        <w:t xml:space="preserve">THE INSIGHT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According to HBR's 2026 AI &amp; Data Leadership Executive Benchmark Survey, virtually every data and AI leader surveyed considers AI a top organizational priority and plans to increase investment. Yet the same research surfaced a stubborn undercurrent: persistent challenges in demonstrating measurable, enterprise-wide value.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Google Cloud's ROI of AI 2025 report — surveying 3,466 senior enterprise leaders — offers a clearer picture. Seventy percent report productivity gains. But marketing impact and security posture improvements lag behind at 55% and 49% respectively. The takeaway: AI ROI is not a single number. It is a portfolio of value streams, and leaders are measuring only some of them.</w:t>
      </w:r>
    </w:p>
    <w:p>
      <w:pPr>
        <w:spacing w:after="1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MIT Sloan's Davenport and Bean reinforce this directly: moving GenAI from individual productivity tools to enterprise-level infrastructure — what they call 'AI factories' — is the decisive shift between incremental gains and transformational ROI. Organizations without this foundational layer are measuring noise, not signal.</w:t>
      </w:r>
    </w:p>
    <w:p>
      <w:pPr>
        <w:pBdr>
          <w:bottom w:val="single" w:color="D1D5DB" w:sz="4" w:space="1"/>
        </w:pBdr>
        <w:spacing w:before="80" w:after="1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0691E7"/>
          <w:sz w:val="20"/>
          <w:szCs w:val="20"/>
        </w:rPr>
        <w:t xml:space="preserve">WHAT THIS MEANS FOR YOU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Reframe AI ROI as a portfolio — track productivity, revenue impact, risk reduction, and customer experience gains separately, not as a single blended number.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Audit your measurement infrastructure before your next AI investment cycle — if you cannot isolate AI's contribution from other variables, your ROI case will not survive board-level scrutiny.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Prioritize 'AI factory' investments: unified data pipelines, shared model infrastructure, and governed APIs that allow AI initiatives to compound across teams rather than restart from scratch.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2DAD6" w:sz="8"/>
              <w:left w:val="single" w:color="32DAD6" w:sz="8"/>
              <w:bottom w:val="single" w:color="32DAD6" w:sz="8"/>
              <w:right w:val="single" w:color="32DAD6" w:sz="8"/>
            </w:tcBorders>
            <w:shd w:fill="F0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91E7"/>
                <w:sz w:val="20"/>
                <w:szCs w:val="20"/>
              </w:rPr>
              <w:t xml:space="preserve">🧠 PRACTITIONER'S TAKE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9102A"/>
                <w:sz w:val="20"/>
                <w:szCs w:val="20"/>
              </w:rPr>
              <w:t xml:space="preserve">AI ROI measurement is not a finance problem — it is a data architecture problem. If your AI initiatives cannot be isolated from the surrounding system, you are not measuring AI; you are measuring noise. Build the instrumentation layer before you scale the initiative.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0691E7"/>
          <w:sz w:val="20"/>
          <w:szCs w:val="20"/>
        </w:rPr>
        <w:t xml:space="preserve">SOURCE 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HBR (2026) — How Executives Are Thinking About AI in 2026 — </w:t>
      </w:r>
      <w:hyperlink w:history="1" r:id="rIdftr3g_ixanochzdslpzhz">
        <w:r>
          <w:rPr>
            <w:rFonts w:ascii="Arial" w:cs="Arial" w:eastAsia="Arial" w:hAnsi="Arial"/>
            <w:color w:val="0691E7"/>
            <w:sz w:val="18"/>
            <w:szCs w:val="18"/>
            <w:u w:val="single"/>
          </w:rPr>
          <w:t xml:space="preserve">https://hbr.org/2026/01/hb-how-executives-are-thinking-about-ai-heading-into-2026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MIT Sloan (2026) — Five Trends in AI and Data Science for 2026 — </w:t>
      </w:r>
      <w:hyperlink w:history="1" r:id="rId3t9ntuzzyh_6bqyvctint">
        <w:r>
          <w:rPr>
            <w:rFonts w:ascii="Arial" w:cs="Arial" w:eastAsia="Arial" w:hAnsi="Arial"/>
            <w:color w:val="0691E7"/>
            <w:sz w:val="18"/>
            <w:szCs w:val="18"/>
            <w:u w:val="single"/>
          </w:rPr>
          <w:t xml:space="preserve">https://sloanreview.mit.edu/article/five-trends-in-ai-and-data-science-for-2026/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Google Cloud ROI of AI 2025 Report (via Channel Insider) — </w:t>
      </w:r>
      <w:hyperlink w:history="1" r:id="rId6vjd4lq9ul15xvyze4u47">
        <w:r>
          <w:rPr>
            <w:rFonts w:ascii="Arial" w:cs="Arial" w:eastAsia="Arial" w:hAnsi="Arial"/>
            <w:color w:val="0691E7"/>
            <w:sz w:val="18"/>
            <w:szCs w:val="18"/>
            <w:u w:val="single"/>
          </w:rPr>
          <w:t xml:space="preserve">https://www.channelinsider.com/ai/ai-trend-predictions-2026/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MIT Sloan (2025) — The Emerging Agentic Enterprise — </w:t>
      </w:r>
      <w:hyperlink w:history="1" r:id="rIdrbcletok6_upadzrqgs-y">
        <w:r>
          <w:rPr>
            <w:rFonts w:ascii="Arial" w:cs="Arial" w:eastAsia="Arial" w:hAnsi="Arial"/>
            <w:color w:val="0691E7"/>
            <w:sz w:val="18"/>
            <w:szCs w:val="18"/>
            <w:u w:val="single"/>
          </w:rPr>
          <w:t xml:space="preserve">https://sloanreview.mit.edu/projects/the-emerging-agentic-enterprise-how-leaders-must-navigate-a-new-age-of-ai/</w:t>
        </w:r>
      </w:hyperlink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9102A"/>
          <w:sz w:val="32"/>
          <w:szCs w:val="32"/>
        </w:rPr>
        <w:t xml:space="preserve">Section 5: Full Reference List</w:t>
      </w:r>
    </w:p>
    <w:p>
      <w:pPr>
        <w:spacing w:after="1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All sources used to generate the 12 topics in this document (Q4 2025 – Q1 2026 research).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691E7"/>
          <w:sz w:val="19"/>
          <w:szCs w:val="19"/>
        </w:rPr>
        <w:t xml:space="preserve">1.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HBR (Jan 2026) — How Executives Are Thinking About AI in 2026 — </w:t>
      </w:r>
      <w:hyperlink w:history="1" r:id="rIdxdmqaal06dhyhs74r8nin">
        <w:r>
          <w:rPr>
            <w:rFonts w:ascii="Arial" w:cs="Arial" w:eastAsia="Arial" w:hAnsi="Arial"/>
            <w:color w:val="0691E7"/>
            <w:sz w:val="19"/>
            <w:szCs w:val="19"/>
            <w:u w:val="single"/>
          </w:rPr>
          <w:t xml:space="preserve">https://hbr.org/2026/01/hb-how-executives-are-thinking-about-ai-heading-into-2026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color w:val="0691E7"/>
          <w:sz w:val="19"/>
          <w:szCs w:val="19"/>
        </w:rPr>
        <w:t xml:space="preserve">2.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MIT Sloan Management Review (2026) — Five Trends in AI and Data Science for 2026 — </w:t>
      </w:r>
      <w:hyperlink w:history="1" r:id="rId_keaep29p8ldda4vpilml">
        <w:r>
          <w:rPr>
            <w:rFonts w:ascii="Arial" w:cs="Arial" w:eastAsia="Arial" w:hAnsi="Arial"/>
            <w:color w:val="0691E7"/>
            <w:sz w:val="19"/>
            <w:szCs w:val="19"/>
            <w:u w:val="single"/>
          </w:rPr>
          <w:t xml:space="preserve">https://sloanreview.mit.edu/article/five-trends-in-ai-and-data-science-for-2026/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color w:val="0691E7"/>
          <w:sz w:val="19"/>
          <w:szCs w:val="19"/>
        </w:rPr>
        <w:t xml:space="preserve">3.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MIT Sloan (Feb 2026) — Agentic AI, Explained — </w:t>
      </w:r>
      <w:hyperlink w:history="1" r:id="rIdikithe6zfkxzjejvnzppy">
        <w:r>
          <w:rPr>
            <w:rFonts w:ascii="Arial" w:cs="Arial" w:eastAsia="Arial" w:hAnsi="Arial"/>
            <w:color w:val="0691E7"/>
            <w:sz w:val="19"/>
            <w:szCs w:val="19"/>
            <w:u w:val="single"/>
          </w:rPr>
          <w:t xml:space="preserve">https://mitsloan.mit.edu/ideas-made-to-matter/agentic-ai-explained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color w:val="0691E7"/>
          <w:sz w:val="19"/>
          <w:szCs w:val="19"/>
        </w:rPr>
        <w:t xml:space="preserve">4.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MIT Sloan (Nov 2025) — The Emerging Agentic Enterprise (MIT + BCG) — </w:t>
      </w:r>
      <w:hyperlink w:history="1" r:id="rId2g2hzlwhpfyapoqaygzju">
        <w:r>
          <w:rPr>
            <w:rFonts w:ascii="Arial" w:cs="Arial" w:eastAsia="Arial" w:hAnsi="Arial"/>
            <w:color w:val="0691E7"/>
            <w:sz w:val="19"/>
            <w:szCs w:val="19"/>
            <w:u w:val="single"/>
          </w:rPr>
          <w:t xml:space="preserve">https://sloanreview.mit.edu/projects/the-emerging-agentic-enterprise-how-leaders-must-navigate-a-new-age-of-ai/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color w:val="0691E7"/>
          <w:sz w:val="19"/>
          <w:szCs w:val="19"/>
        </w:rPr>
        <w:t xml:space="preserve">5.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MIT Sloan (Jan 2026) — AI Trends in 2026: Key Insights for Leaders — </w:t>
      </w:r>
      <w:hyperlink w:history="1" r:id="rIdmumuv9ye-lkb6rimazd_7">
        <w:r>
          <w:rPr>
            <w:rFonts w:ascii="Arial" w:cs="Arial" w:eastAsia="Arial" w:hAnsi="Arial"/>
            <w:color w:val="0691E7"/>
            <w:sz w:val="19"/>
            <w:szCs w:val="19"/>
            <w:u w:val="single"/>
          </w:rPr>
          <w:t xml:space="preserve">https://sloanreview.mit.edu/video/ai-trends-in-2026-key-insights-for-leaders/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color w:val="0691E7"/>
          <w:sz w:val="19"/>
          <w:szCs w:val="19"/>
        </w:rPr>
        <w:t xml:space="preserve">6.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Gartner (Oct 2025) — Top Strategic Predictions for 2026 and Beyond — </w:t>
      </w:r>
      <w:hyperlink w:history="1" r:id="rIdira-zgxavstwmmkvewdh-">
        <w:r>
          <w:rPr>
            <w:rFonts w:ascii="Arial" w:cs="Arial" w:eastAsia="Arial" w:hAnsi="Arial"/>
            <w:color w:val="0691E7"/>
            <w:sz w:val="19"/>
            <w:szCs w:val="19"/>
            <w:u w:val="single"/>
          </w:rPr>
          <w:t xml:space="preserve">https://www.gartner.com/en/newsroom/press-releases/2025-10-21-gartner-unveils-top-predictions-for-it-organizations-and-users-in-2026-and-beyond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color w:val="0691E7"/>
          <w:sz w:val="19"/>
          <w:szCs w:val="19"/>
        </w:rPr>
        <w:t xml:space="preserve">7.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Gartner (Mar 2026) — Strategic Predictions for 2026: How AI's Underestimated Influence Is Reshaping Business — </w:t>
      </w:r>
      <w:hyperlink w:history="1" r:id="rId8jfyaj-zo1r98ypbtqbd1">
        <w:r>
          <w:rPr>
            <w:rFonts w:ascii="Arial" w:cs="Arial" w:eastAsia="Arial" w:hAnsi="Arial"/>
            <w:color w:val="0691E7"/>
            <w:sz w:val="19"/>
            <w:szCs w:val="19"/>
            <w:u w:val="single"/>
          </w:rPr>
          <w:t xml:space="preserve">https://www.gartner.com/en/articles/strategic-predictions-for-2026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color w:val="0691E7"/>
          <w:sz w:val="19"/>
          <w:szCs w:val="19"/>
        </w:rPr>
        <w:t xml:space="preserve">8.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Gartner / SHRM (2024) — Transforming Work: Gartner's AI Predictions Through 2029 — </w:t>
      </w:r>
      <w:hyperlink w:history="1" r:id="rIdizvejnhf_etrksta0nqen">
        <w:r>
          <w:rPr>
            <w:rFonts w:ascii="Arial" w:cs="Arial" w:eastAsia="Arial" w:hAnsi="Arial"/>
            <w:color w:val="0691E7"/>
            <w:sz w:val="19"/>
            <w:szCs w:val="19"/>
            <w:u w:val="single"/>
          </w:rPr>
          <w:t xml:space="preserve">https://www.shrm.org/topics-tools/flagships/ai-hi/gartner-ai-predictions-through-2029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color w:val="0691E7"/>
          <w:sz w:val="19"/>
          <w:szCs w:val="19"/>
        </w:rPr>
        <w:t xml:space="preserve">9.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HBR Sponsored (Dec 2025) — 6 Cybersecurity Predictions for the AI Economy in 2026 — </w:t>
      </w:r>
      <w:hyperlink w:history="1" r:id="rIdrdvjkqkcznxs5f9_8carj">
        <w:r>
          <w:rPr>
            <w:rFonts w:ascii="Arial" w:cs="Arial" w:eastAsia="Arial" w:hAnsi="Arial"/>
            <w:color w:val="0691E7"/>
            <w:sz w:val="19"/>
            <w:szCs w:val="19"/>
            <w:u w:val="single"/>
          </w:rPr>
          <w:t xml:space="preserve">https://hbr.org/sponsored/2025/12/6-cybersecurity-predictions-for-the-ai-economy-in-2026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color w:val="0691E7"/>
          <w:sz w:val="19"/>
          <w:szCs w:val="19"/>
        </w:rPr>
        <w:t xml:space="preserve">10.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Channel Insider (Dec 2025) — AI Trends for the IT Channel in 2026 — </w:t>
      </w:r>
      <w:hyperlink w:history="1" r:id="rIdwqr8heet7_hgrncmhokvk">
        <w:r>
          <w:rPr>
            <w:rFonts w:ascii="Arial" w:cs="Arial" w:eastAsia="Arial" w:hAnsi="Arial"/>
            <w:color w:val="0691E7"/>
            <w:sz w:val="19"/>
            <w:szCs w:val="19"/>
            <w:u w:val="single"/>
          </w:rPr>
          <w:t xml:space="preserve">https://www.channelinsider.com/ai/ai-trend-predictions-2026/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color w:val="0691E7"/>
          <w:sz w:val="19"/>
          <w:szCs w:val="19"/>
        </w:rPr>
        <w:t xml:space="preserve">11.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DQ Channels (Mar 2026) — Gartner Data Analytics Predictions 2026 — </w:t>
      </w:r>
      <w:hyperlink w:history="1" r:id="rIdiswzvjsgmf_mzvtevy8w9">
        <w:r>
          <w:rPr>
            <w:rFonts w:ascii="Arial" w:cs="Arial" w:eastAsia="Arial" w:hAnsi="Arial"/>
            <w:color w:val="0691E7"/>
            <w:sz w:val="19"/>
            <w:szCs w:val="19"/>
            <w:u w:val="single"/>
          </w:rPr>
          <w:t xml:space="preserve">https://www.dqchannels.com/news/gartner-data-analytics-predictions-2026-reshape-ai-workplaces-11217059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color w:val="0691E7"/>
          <w:sz w:val="19"/>
          <w:szCs w:val="19"/>
        </w:rPr>
        <w:t xml:space="preserve">12.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Landbase (Jan 2026) — 39 Agentic AI Statistics Every GTM Leader Should Know in 2026 — </w:t>
      </w:r>
      <w:hyperlink w:history="1" r:id="rIdenbzk7ctu5_plcbolj7hm">
        <w:r>
          <w:rPr>
            <w:rFonts w:ascii="Arial" w:cs="Arial" w:eastAsia="Arial" w:hAnsi="Arial"/>
            <w:color w:val="0691E7"/>
            <w:sz w:val="19"/>
            <w:szCs w:val="19"/>
            <w:u w:val="single"/>
          </w:rPr>
          <w:t xml:space="preserve">https://www.landbase.com/blog/agentic-ai-statistics</w:t>
        </w:r>
      </w:hyperlink>
    </w:p>
    <w:p>
      <w:pPr>
        <w:spacing w:after="200"/>
      </w:pPr>
      <w:r>
        <w:t xml:space="preserve"/>
      </w:r>
    </w:p>
    <w:p>
      <w:pPr>
        <w:pBdr>
          <w:bottom w:val="single" w:color="32DAD6" w:sz="4" w:space="1"/>
        </w:pBdr>
        <w:spacing w:before="80" w:after="160"/>
      </w:pPr>
      <w:r>
        <w:t xml:space="preserve"/>
      </w:r>
    </w:p>
    <w:p>
      <w:pPr>
        <w:spacing w:before="80"/>
        <w:jc w:val="center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AJ's Data &amp; AI Lab  •  linkedin.com/in/arnayjoshi/  •  Where Data Engineering Meets Leadership Thinking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910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0691E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jkcai4du5y2rcprukugfo" Type="http://schemas.openxmlformats.org/officeDocument/2006/relationships/hyperlink" Target="https://sloanreview.mit.edu/article/five-trends-in-ai-and-data-science-for-2026/" TargetMode="External"/><Relationship Id="rIdr4he7vfapjvz07bvbqsvk" Type="http://schemas.openxmlformats.org/officeDocument/2006/relationships/hyperlink" Target="https://sloanreview.mit.edu/projects/the-emerging-agentic-enterprise-how-leaders-must-navigate-a-new-age-of-ai/" TargetMode="External"/><Relationship Id="rIdqvdpx-a3jpzo7asaudmyf" Type="http://schemas.openxmlformats.org/officeDocument/2006/relationships/hyperlink" Target="https://sloanreview.mit.edu/article/five-trends-in-ai-and-data-science-for-2026/" TargetMode="External"/><Relationship Id="rIdzblnhu0zdl46mbai6pqgw" Type="http://schemas.openxmlformats.org/officeDocument/2006/relationships/hyperlink" Target="https://www.gartner.com/en/newsroom/press-releases/2025-10-21-gartner-unveils-top-predictions-for-it-organizations-and-users-in-2026-and-beyond" TargetMode="External"/><Relationship Id="rIdlx15ttxejwpi_pvjnimrs" Type="http://schemas.openxmlformats.org/officeDocument/2006/relationships/hyperlink" Target="https://www.gartner.com/en/articles/strategic-predictions-for-2026" TargetMode="External"/><Relationship Id="rId8jbqljnvoyhjwybzgjnxv" Type="http://schemas.openxmlformats.org/officeDocument/2006/relationships/hyperlink" Target="https://hbr.org/2026/01/hb-how-executives-are-thinking-about-ai-heading-into-2026" TargetMode="External"/><Relationship Id="rIdydjt-ldasnehen4r9necl" Type="http://schemas.openxmlformats.org/officeDocument/2006/relationships/hyperlink" Target="https://techlife.blog/posts/gartner-data-analytics-summit-2026/" TargetMode="External"/><Relationship Id="rIdl4wp5tjjp_phxgatdr9-v" Type="http://schemas.openxmlformats.org/officeDocument/2006/relationships/hyperlink" Target="https://sloanreview.mit.edu/article/five-trends-in-ai-and-data-science-for-2026/" TargetMode="External"/><Relationship Id="rId2addwqaxroo15ziaz-cpq" Type="http://schemas.openxmlformats.org/officeDocument/2006/relationships/hyperlink" Target="https://www.gartner.com/en/newsroom/press-releases/2025-10-21-gartner-unveils-top-predictions-for-it-organizations-and-users-in-2026-and-beyond" TargetMode="External"/><Relationship Id="rIdqk9ksmt9lm_uu7_ggqip6" Type="http://schemas.openxmlformats.org/officeDocument/2006/relationships/hyperlink" Target="https://mitsloan.mit.edu/ideas-made-to-matter/agentic-ai-explained" TargetMode="External"/><Relationship Id="rIdg2evtigkkibxafpjvhbhj" Type="http://schemas.openxmlformats.org/officeDocument/2006/relationships/hyperlink" Target="https://www.shrm.org/topics-tools/flagships/ai-hi/gartner-ai-predictions-through-2029" TargetMode="External"/><Relationship Id="rId70ko44msbs55ja9dr355j" Type="http://schemas.openxmlformats.org/officeDocument/2006/relationships/hyperlink" Target="https://sloanreview.mit.edu/article/five-trends-in-ai-and-data-science-for-2026/" TargetMode="External"/><Relationship Id="rIdftr3g_ixanochzdslpzhz" Type="http://schemas.openxmlformats.org/officeDocument/2006/relationships/hyperlink" Target="https://hbr.org/2026/01/hb-how-executives-are-thinking-about-ai-heading-into-2026" TargetMode="External"/><Relationship Id="rId3t9ntuzzyh_6bqyvctint" Type="http://schemas.openxmlformats.org/officeDocument/2006/relationships/hyperlink" Target="https://sloanreview.mit.edu/article/five-trends-in-ai-and-data-science-for-2026/" TargetMode="External"/><Relationship Id="rId6vjd4lq9ul15xvyze4u47" Type="http://schemas.openxmlformats.org/officeDocument/2006/relationships/hyperlink" Target="https://www.channelinsider.com/ai/ai-trend-predictions-2026/" TargetMode="External"/><Relationship Id="rIdrbcletok6_upadzrqgs-y" Type="http://schemas.openxmlformats.org/officeDocument/2006/relationships/hyperlink" Target="https://sloanreview.mit.edu/projects/the-emerging-agentic-enterprise-how-leaders-must-navigate-a-new-age-of-ai/" TargetMode="External"/><Relationship Id="rIdxdmqaal06dhyhs74r8nin" Type="http://schemas.openxmlformats.org/officeDocument/2006/relationships/hyperlink" Target="https://hbr.org/2026/01/hb-how-executives-are-thinking-about-ai-heading-into-2026" TargetMode="External"/><Relationship Id="rId_keaep29p8ldda4vpilml" Type="http://schemas.openxmlformats.org/officeDocument/2006/relationships/hyperlink" Target="https://sloanreview.mit.edu/article/five-trends-in-ai-and-data-science-for-2026/" TargetMode="External"/><Relationship Id="rIdikithe6zfkxzjejvnzppy" Type="http://schemas.openxmlformats.org/officeDocument/2006/relationships/hyperlink" Target="https://mitsloan.mit.edu/ideas-made-to-matter/agentic-ai-explained" TargetMode="External"/><Relationship Id="rId2g2hzlwhpfyapoqaygzju" Type="http://schemas.openxmlformats.org/officeDocument/2006/relationships/hyperlink" Target="https://sloanreview.mit.edu/projects/the-emerging-agentic-enterprise-how-leaders-must-navigate-a-new-age-of-ai/" TargetMode="External"/><Relationship Id="rIdmumuv9ye-lkb6rimazd_7" Type="http://schemas.openxmlformats.org/officeDocument/2006/relationships/hyperlink" Target="https://sloanreview.mit.edu/video/ai-trends-in-2026-key-insights-for-leaders/" TargetMode="External"/><Relationship Id="rIdira-zgxavstwmmkvewdh-" Type="http://schemas.openxmlformats.org/officeDocument/2006/relationships/hyperlink" Target="https://www.gartner.com/en/newsroom/press-releases/2025-10-21-gartner-unveils-top-predictions-for-it-organizations-and-users-in-2026-and-beyond" TargetMode="External"/><Relationship Id="rId8jfyaj-zo1r98ypbtqbd1" Type="http://schemas.openxmlformats.org/officeDocument/2006/relationships/hyperlink" Target="https://www.gartner.com/en/articles/strategic-predictions-for-2026" TargetMode="External"/><Relationship Id="rIdizvejnhf_etrksta0nqen" Type="http://schemas.openxmlformats.org/officeDocument/2006/relationships/hyperlink" Target="https://www.shrm.org/topics-tools/flagships/ai-hi/gartner-ai-predictions-through-2029" TargetMode="External"/><Relationship Id="rIdrdvjkqkcznxs5f9_8carj" Type="http://schemas.openxmlformats.org/officeDocument/2006/relationships/hyperlink" Target="https://hbr.org/sponsored/2025/12/6-cybersecurity-predictions-for-the-ai-economy-in-2026" TargetMode="External"/><Relationship Id="rIdwqr8heet7_hgrncmhokvk" Type="http://schemas.openxmlformats.org/officeDocument/2006/relationships/hyperlink" Target="https://www.channelinsider.com/ai/ai-trend-predictions-2026/" TargetMode="External"/><Relationship Id="rIdiswzvjsgmf_mzvtevy8w9" Type="http://schemas.openxmlformats.org/officeDocument/2006/relationships/hyperlink" Target="https://www.dqchannels.com/news/gartner-data-analytics-predictions-2026-reshape-ai-workplaces-11217059" TargetMode="External"/><Relationship Id="rIdenbzk7ctu5_plcbolj7hm" Type="http://schemas.openxmlformats.org/officeDocument/2006/relationships/hyperlink" Target="https://www.landbase.com/blog/agentic-ai-statistics" TargetMode="External"/><Relationship Id="rId3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Briefing Series — Topic Bank &amp; Authoring Kit</dc:title>
  <dc:creator>Arnay Joshi — AJ's Data &amp; AI Lab</dc:creator>
  <dc:description>12 research-backed topics, master prompt, article structure guide, and a sample article for the Executive Briefing stream</dc:description>
  <cp:lastModifiedBy>Un-named</cp:lastModifiedBy>
  <cp:revision>1</cp:revision>
  <dcterms:created xsi:type="dcterms:W3CDTF">2026-03-27T05:35:55.329Z</dcterms:created>
  <dcterms:modified xsi:type="dcterms:W3CDTF">2026-03-27T05:35:55.330Z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