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Journal: Portfolio Reflection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Akemi Santos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CS-405 Secure Coding</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Alim</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25, 2026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this course has made clear to me is that adopting a secure coding standard gives developers a consistent way to approach security rather than relying on their own methods and practices. In Chapter 9, Seacord (2013) explains that secure coding standards establish rules developers can follow to reduce vulnerabilities and evaluate their code. Furthermore, after reading about issues involving string handling and integer limits in Chapters 2 and 5, I can see how even small programming mistakes can create serious security problems (Seacord, 2013). The numeric overflow activity from Module One helped me understand this better because I worked on adding checks to the addition and subtraction functions to detect when a calculation might exceed the limits of a data type. This showed me how important it is to catch these kinds of problems before they lead to incorrect results, especially in an application that handles financial information. Working on the Green Pace projects also helped me understand this better because researching potential vulnerabilities gave me a better idea of why secure coding standards are needed. As I worked on developing those standards and looking into how automated testing could help enforce them, I started to see why security needs to be considered throughout development instead of waiting until the application is finished. In my own practice, I would want to follow secure coding standards and test for vulnerabilities as development progressed. Although this requires additional effort early on, I think it's better than discovering security problems later when they may be more difficult to correct.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thing I learned from this course is how evaluating risks can help developers figure out which security issues should be addressed first. In Chapter 1, Seacord (2013) discusses how attackers can have different motivations and how cyberattacks can lead to financial losses and other problems for organizations. This connects to something I discussed in Module Seven, where an attacker motivated by financial gain might try to exploit an SQL injection vulnerability to steal sensitive user information. If I were developing an application that stored personal information, I would want to reduce this risk by using parameterized queries and testing how the application interacts with its database. Even though taking these precautions would require additional time and resources, I think the potential consequences of a data breach would make the effort worthwhile. At the same time, I understand that not every vulnerability carries the same level of risk. Because of this, I would need to consider how likely an attack is to happen and whether the potential damage would justify the cost of addressing it.</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zero trust, one thing I have learned is that being inside a network does not automatically mean someone should be trusted. Fortra (2024) explains that zero trust requires access to be verified and limits users to the permissions they actually need. Kueh (2020) also discusses how this approach goes beyond protecting the network itself by considering the security of users and the resources they access. I believe this makes a lot of sense because security threats can come from within an organization, not just from outside attackers. In practice, I would want to use measures like multifactor authentication and limit access to sensitive information based on what each user needs to do. Even if someone managed to compromise an account, these precautions could help reduce the damage. However, I do wonder how an organization can maintain this level of security without making it difficult for employees to access the resources they need to do their jobs.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working on the Security Policy for Green Pace helped me realize that implementing security policies involves more than just creating rules for developers to follow. It is also important to make sure those rules can actually be applied throughout development. In Chapter 9, Seacord (2013) explains how security planning and identifying potential problems early are important parts of developing secure software. This connects to my experience with the Green Pace projects, especially when looking at how automated security checks could help developers follow the standards outlined in the policy. If I were recommending security policies for an organization, I would want to make sure the requirements were clear and that developers understood how to apply them in their work. I also think policies should be reviewed regularly because new vulnerabilities can come up, and existing security practices may need to be updated. Overall, working on these projects helped me understand that maintaining secure software requires ongoing attention rather than simply creating a policy and assuming it will always be effective.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C">
      <w:pPr>
        <w:spacing w:line="480" w:lineRule="auto"/>
        <w:ind w:left="720" w:hanging="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Fortra. (2024, October 23). </w:t>
      </w:r>
      <w:r w:rsidDel="00000000" w:rsidR="00000000" w:rsidRPr="00000000">
        <w:rPr>
          <w:rFonts w:ascii="Times New Roman" w:cs="Times New Roman" w:eastAsia="Times New Roman" w:hAnsi="Times New Roman"/>
          <w:i w:val="1"/>
          <w:iCs w:val="1"/>
          <w:sz w:val="24"/>
          <w:szCs w:val="24"/>
          <w:rtl w:val="0"/>
        </w:rPr>
        <w:t xml:space="preserve">Understanding the zero trust security model to safeguard digital infrastructure</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https://www.fortra.com/blog/understanding-zero-trust-security-model-safeguard-digital-infrastructure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480" w:lineRule="auto"/>
        <w:ind w:left="720" w:hanging="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Kueh, T. (2020, January 15). A practical guide to zero-trust security. </w:t>
      </w:r>
      <w:r w:rsidDel="00000000" w:rsidR="00000000" w:rsidRPr="00000000">
        <w:rPr>
          <w:rFonts w:ascii="Times New Roman" w:cs="Times New Roman" w:eastAsia="Times New Roman" w:hAnsi="Times New Roman"/>
          <w:i w:val="1"/>
          <w:iCs w:val="1"/>
          <w:sz w:val="24"/>
          <w:szCs w:val="24"/>
          <w:rtl w:val="0"/>
        </w:rPr>
        <w:t xml:space="preserve">Threatpost</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https://threatpost.com/practical-guide-zero-trust-security/151912/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480" w:lineRule="auto"/>
        <w:ind w:left="720" w:hanging="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Seacord, R. C. (2013). </w:t>
      </w:r>
      <w:r w:rsidDel="00000000" w:rsidR="00000000" w:rsidRPr="00000000">
        <w:rPr>
          <w:rFonts w:ascii="Times New Roman" w:cs="Times New Roman" w:eastAsia="Times New Roman" w:hAnsi="Times New Roman"/>
          <w:i w:val="1"/>
          <w:iCs w:val="1"/>
          <w:sz w:val="24"/>
          <w:szCs w:val="24"/>
          <w:rtl w:val="0"/>
        </w:rPr>
        <w:t xml:space="preserve">Secure coding in C and C++</w:t>
      </w:r>
      <w:r w:rsidDel="00000000" w:rsidR="00000000" w:rsidRPr="00000000">
        <w:rPr>
          <w:rFonts w:ascii="Times New Roman" w:cs="Times New Roman" w:eastAsia="Times New Roman" w:hAnsi="Times New Roman"/>
          <w:sz w:val="24"/>
          <w:szCs w:val="24"/>
          <w:rtl w:val="0"/>
        </w:rPr>
        <w:t xml:space="preserve"> (2nd ed.). Addison-Wesley Professional.</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fortra.com/blog/understanding-zero-trust-security-model-safeguard-digital-infrastructure" TargetMode="External"/><Relationship Id="rId7" Type="http://schemas.openxmlformats.org/officeDocument/2006/relationships/hyperlink" Target="https://threatpost.com/practical-guide-zero-trust-security/15191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