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B4" w:rsidRDefault="00CE53D7" w:rsidP="00CE53D7">
      <w:pPr>
        <w:rPr>
          <w:rFonts w:ascii="Cambria Math" w:hAnsi="Cambria Math"/>
          <w:b/>
        </w:rPr>
      </w:pPr>
      <w:r w:rsidRPr="00C622B4">
        <w:rPr>
          <w:rFonts w:ascii="Cambria Math" w:hAnsi="Cambria Math"/>
          <w:b/>
        </w:rPr>
        <w:t>Data Science Project</w:t>
      </w:r>
    </w:p>
    <w:p w:rsidR="008941B4" w:rsidRDefault="00CE53D7" w:rsidP="00CE53D7">
      <w:pPr>
        <w:rPr>
          <w:rFonts w:ascii="Cambria Math" w:hAnsi="Cambria Math"/>
          <w:b/>
        </w:rPr>
      </w:pPr>
      <w:r w:rsidRPr="00C622B4">
        <w:rPr>
          <w:rFonts w:ascii="Cambria Math" w:hAnsi="Cambria Math"/>
          <w:b/>
        </w:rPr>
        <w:t>Nick Marchio</w:t>
      </w:r>
    </w:p>
    <w:p w:rsidR="00F573E0" w:rsidRDefault="00F573E0" w:rsidP="00CE53D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Fall 2014</w:t>
      </w:r>
    </w:p>
    <w:p w:rsidR="00CE53D7" w:rsidRPr="00C622B4" w:rsidRDefault="00653C60" w:rsidP="008941B4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Estimating Metro Exports with </w:t>
      </w:r>
      <w:bookmarkStart w:id="0" w:name="_GoBack"/>
      <w:bookmarkEnd w:id="0"/>
      <w:r w:rsidR="00A419CE">
        <w:rPr>
          <w:rFonts w:ascii="Cambria Math" w:hAnsi="Cambria Math"/>
          <w:b/>
        </w:rPr>
        <w:t>Constraint Satisfaction Algorithms</w:t>
      </w:r>
    </w:p>
    <w:p w:rsidR="004F238B" w:rsidRPr="00C622B4" w:rsidRDefault="004F238B">
      <w:pPr>
        <w:rPr>
          <w:rFonts w:ascii="Cambria Math" w:hAnsi="Cambria Math"/>
          <w:b/>
        </w:rPr>
      </w:pPr>
      <w:r w:rsidRPr="00C622B4">
        <w:rPr>
          <w:rFonts w:ascii="Cambria Math" w:hAnsi="Cambria Math"/>
          <w:b/>
        </w:rPr>
        <w:t>Background</w:t>
      </w:r>
      <w:r w:rsidR="002536CE" w:rsidRPr="00C622B4">
        <w:rPr>
          <w:rFonts w:ascii="Cambria Math" w:hAnsi="Cambria Math"/>
          <w:b/>
        </w:rPr>
        <w:t xml:space="preserve"> Problem</w:t>
      </w:r>
    </w:p>
    <w:p w:rsidR="00FA30BC" w:rsidRPr="00C622B4" w:rsidRDefault="00DA0D83">
      <w:pPr>
        <w:rPr>
          <w:rFonts w:ascii="Cambria Math" w:hAnsi="Cambria Math"/>
        </w:rPr>
      </w:pPr>
      <w:r w:rsidRPr="00C622B4">
        <w:rPr>
          <w:rFonts w:ascii="Cambria Math" w:hAnsi="Cambria Math"/>
        </w:rPr>
        <w:t>My project is an</w:t>
      </w:r>
      <w:r w:rsidR="000F7A97" w:rsidRPr="00C622B4">
        <w:rPr>
          <w:rFonts w:ascii="Cambria Math" w:hAnsi="Cambria Math"/>
        </w:rPr>
        <w:t xml:space="preserve"> offshoot of an existing </w:t>
      </w:r>
      <w:r w:rsidR="00A81787">
        <w:rPr>
          <w:rFonts w:ascii="Cambria Math" w:hAnsi="Cambria Math"/>
        </w:rPr>
        <w:t xml:space="preserve">research project </w:t>
      </w:r>
      <w:r w:rsidR="005C2248">
        <w:rPr>
          <w:rFonts w:ascii="Cambria Math" w:hAnsi="Cambria Math"/>
        </w:rPr>
        <w:t>pertaining to metropolitan export</w:t>
      </w:r>
      <w:r w:rsidR="00E20969">
        <w:rPr>
          <w:rFonts w:ascii="Cambria Math" w:hAnsi="Cambria Math"/>
        </w:rPr>
        <w:t>s</w:t>
      </w:r>
      <w:r w:rsidR="000F7A97" w:rsidRPr="00C622B4">
        <w:rPr>
          <w:rFonts w:ascii="Cambria Math" w:hAnsi="Cambria Math"/>
        </w:rPr>
        <w:t xml:space="preserve">. The </w:t>
      </w:r>
      <w:r w:rsidR="00C9368A" w:rsidRPr="00C622B4">
        <w:rPr>
          <w:rFonts w:ascii="Cambria Math" w:hAnsi="Cambria Math"/>
        </w:rPr>
        <w:t>resear</w:t>
      </w:r>
      <w:r w:rsidR="00442D62">
        <w:rPr>
          <w:rFonts w:ascii="Cambria Math" w:hAnsi="Cambria Math"/>
        </w:rPr>
        <w:t>ch</w:t>
      </w:r>
      <w:r w:rsidR="005C2248">
        <w:rPr>
          <w:rFonts w:ascii="Cambria Math" w:hAnsi="Cambria Math"/>
        </w:rPr>
        <w:t xml:space="preserve"> aims to generate</w:t>
      </w:r>
      <w:r w:rsidR="00C9368A" w:rsidRPr="00C622B4">
        <w:rPr>
          <w:rFonts w:ascii="Cambria Math" w:hAnsi="Cambria Math"/>
        </w:rPr>
        <w:t xml:space="preserve"> export estimates</w:t>
      </w:r>
      <w:r w:rsidR="00C073D8" w:rsidRPr="00C622B4">
        <w:rPr>
          <w:rFonts w:ascii="Cambria Math" w:hAnsi="Cambria Math"/>
        </w:rPr>
        <w:t xml:space="preserve"> </w:t>
      </w:r>
      <w:r w:rsidR="00FA30BC" w:rsidRPr="00C622B4">
        <w:rPr>
          <w:rFonts w:ascii="Cambria Math" w:hAnsi="Cambria Math"/>
        </w:rPr>
        <w:t>for</w:t>
      </w:r>
      <w:r w:rsidR="00C073D8" w:rsidRPr="00C622B4">
        <w:rPr>
          <w:rFonts w:ascii="Cambria Math" w:hAnsi="Cambria Math"/>
        </w:rPr>
        <w:t xml:space="preserve"> </w:t>
      </w:r>
      <w:r w:rsidR="00F15319">
        <w:rPr>
          <w:rFonts w:ascii="Cambria Math" w:hAnsi="Cambria Math"/>
        </w:rPr>
        <w:t>over</w:t>
      </w:r>
      <w:r w:rsidR="00C073D8" w:rsidRPr="00C622B4">
        <w:rPr>
          <w:rFonts w:ascii="Cambria Math" w:hAnsi="Cambria Math"/>
        </w:rPr>
        <w:t xml:space="preserve"> 130 goods and services industries</w:t>
      </w:r>
      <w:r w:rsidR="00C9368A" w:rsidRPr="00C622B4">
        <w:rPr>
          <w:rFonts w:ascii="Cambria Math" w:hAnsi="Cambria Math"/>
        </w:rPr>
        <w:t xml:space="preserve"> over time for each</w:t>
      </w:r>
      <w:r w:rsidR="00B83E0B" w:rsidRPr="00C622B4">
        <w:rPr>
          <w:rFonts w:ascii="Cambria Math" w:hAnsi="Cambria Math"/>
        </w:rPr>
        <w:t xml:space="preserve"> </w:t>
      </w:r>
      <w:r w:rsidR="00C9368A" w:rsidRPr="00C622B4">
        <w:rPr>
          <w:rFonts w:ascii="Cambria Math" w:hAnsi="Cambria Math"/>
        </w:rPr>
        <w:t xml:space="preserve">of the </w:t>
      </w:r>
      <w:r w:rsidR="00B83E0B" w:rsidRPr="00C622B4">
        <w:rPr>
          <w:rFonts w:ascii="Cambria Math" w:hAnsi="Cambria Math"/>
        </w:rPr>
        <w:t>3,113 counties in the U</w:t>
      </w:r>
      <w:r w:rsidR="00C9368A" w:rsidRPr="00C622B4">
        <w:rPr>
          <w:rFonts w:ascii="Cambria Math" w:hAnsi="Cambria Math"/>
        </w:rPr>
        <w:t>.</w:t>
      </w:r>
      <w:r w:rsidR="00B83E0B" w:rsidRPr="00C622B4">
        <w:rPr>
          <w:rFonts w:ascii="Cambria Math" w:hAnsi="Cambria Math"/>
        </w:rPr>
        <w:t>S</w:t>
      </w:r>
      <w:r w:rsidR="00C073D8" w:rsidRPr="00C622B4">
        <w:rPr>
          <w:rFonts w:ascii="Cambria Math" w:hAnsi="Cambria Math"/>
        </w:rPr>
        <w:t>.</w:t>
      </w:r>
      <w:r w:rsidR="00B83E0B" w:rsidRPr="00C622B4">
        <w:rPr>
          <w:rFonts w:ascii="Cambria Math" w:hAnsi="Cambria Math"/>
        </w:rPr>
        <w:t xml:space="preserve"> </w:t>
      </w:r>
      <w:r w:rsidR="00442D62">
        <w:rPr>
          <w:rFonts w:ascii="Cambria Math" w:hAnsi="Cambria Math"/>
        </w:rPr>
        <w:t>The</w:t>
      </w:r>
      <w:r w:rsidR="005E0E21">
        <w:rPr>
          <w:rFonts w:ascii="Cambria Math" w:hAnsi="Cambria Math"/>
        </w:rPr>
        <w:t xml:space="preserve"> resulting data</w:t>
      </w:r>
      <w:r w:rsidR="00442D62">
        <w:rPr>
          <w:rFonts w:ascii="Cambria Math" w:hAnsi="Cambria Math"/>
        </w:rPr>
        <w:t xml:space="preserve"> is then provided</w:t>
      </w:r>
      <w:r w:rsidR="00C9368A" w:rsidRPr="00C622B4">
        <w:rPr>
          <w:rFonts w:ascii="Cambria Math" w:hAnsi="Cambria Math"/>
        </w:rPr>
        <w:t xml:space="preserve"> to </w:t>
      </w:r>
      <w:r w:rsidR="00DB64BE">
        <w:rPr>
          <w:rFonts w:ascii="Cambria Math" w:hAnsi="Cambria Math"/>
        </w:rPr>
        <w:t xml:space="preserve">local </w:t>
      </w:r>
      <w:r w:rsidR="00C9368A" w:rsidRPr="00C622B4">
        <w:rPr>
          <w:rFonts w:ascii="Cambria Math" w:hAnsi="Cambria Math"/>
        </w:rPr>
        <w:t>economic development department</w:t>
      </w:r>
      <w:r w:rsidR="00DB64BE">
        <w:rPr>
          <w:rFonts w:ascii="Cambria Math" w:hAnsi="Cambria Math"/>
        </w:rPr>
        <w:t>s</w:t>
      </w:r>
      <w:r w:rsidR="00C9368A" w:rsidRPr="00C622B4">
        <w:rPr>
          <w:rFonts w:ascii="Cambria Math" w:hAnsi="Cambria Math"/>
        </w:rPr>
        <w:t xml:space="preserve"> interested in devising</w:t>
      </w:r>
      <w:r w:rsidR="005E0E21">
        <w:rPr>
          <w:rFonts w:ascii="Cambria Math" w:hAnsi="Cambria Math"/>
        </w:rPr>
        <w:t xml:space="preserve"> plans </w:t>
      </w:r>
      <w:r w:rsidR="00E20969">
        <w:rPr>
          <w:rFonts w:ascii="Cambria Math" w:hAnsi="Cambria Math"/>
        </w:rPr>
        <w:t>t</w:t>
      </w:r>
      <w:r w:rsidR="00FA4D65">
        <w:rPr>
          <w:rFonts w:ascii="Cambria Math" w:hAnsi="Cambria Math"/>
        </w:rPr>
        <w:t>o</w:t>
      </w:r>
      <w:r w:rsidR="00442D62">
        <w:rPr>
          <w:rFonts w:ascii="Cambria Math" w:hAnsi="Cambria Math"/>
        </w:rPr>
        <w:t xml:space="preserve"> foster</w:t>
      </w:r>
      <w:r w:rsidR="00DB64BE">
        <w:rPr>
          <w:rFonts w:ascii="Cambria Math" w:hAnsi="Cambria Math"/>
        </w:rPr>
        <w:t xml:space="preserve"> export-oriented growth.</w:t>
      </w:r>
    </w:p>
    <w:p w:rsidR="00F16CAC" w:rsidRDefault="00F16CAC">
      <w:pPr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F7461F" w:rsidRPr="00C622B4">
        <w:rPr>
          <w:rFonts w:ascii="Cambria Math" w:hAnsi="Cambria Math"/>
        </w:rPr>
        <w:t>ue to limitations that exist in fed</w:t>
      </w:r>
      <w:r w:rsidR="00C9368A" w:rsidRPr="00C622B4">
        <w:rPr>
          <w:rFonts w:ascii="Cambria Math" w:hAnsi="Cambria Math"/>
        </w:rPr>
        <w:t xml:space="preserve">eral data </w:t>
      </w:r>
      <w:r w:rsidR="009D005E">
        <w:rPr>
          <w:rFonts w:ascii="Cambria Math" w:hAnsi="Cambria Math"/>
        </w:rPr>
        <w:t>there are</w:t>
      </w:r>
      <w:r w:rsidR="00FA4D65">
        <w:rPr>
          <w:rFonts w:ascii="Cambria Math" w:hAnsi="Cambria Math"/>
        </w:rPr>
        <w:t xml:space="preserve"> </w:t>
      </w:r>
      <w:r w:rsidR="00F7461F" w:rsidRPr="00C622B4">
        <w:rPr>
          <w:rFonts w:ascii="Cambria Math" w:hAnsi="Cambria Math"/>
        </w:rPr>
        <w:t>no available source</w:t>
      </w:r>
      <w:r w:rsidR="009D005E">
        <w:rPr>
          <w:rFonts w:ascii="Cambria Math" w:hAnsi="Cambria Math"/>
        </w:rPr>
        <w:t>s</w:t>
      </w:r>
      <w:r w:rsidR="00F7461F" w:rsidRPr="00C622B4">
        <w:rPr>
          <w:rFonts w:ascii="Cambria Math" w:hAnsi="Cambria Math"/>
        </w:rPr>
        <w:t xml:space="preserve"> </w:t>
      </w:r>
      <w:r w:rsidR="00FA4D65">
        <w:rPr>
          <w:rFonts w:ascii="Cambria Math" w:hAnsi="Cambria Math"/>
        </w:rPr>
        <w:t>of</w:t>
      </w:r>
      <w:r w:rsidR="00F7461F" w:rsidRPr="00C622B4">
        <w:rPr>
          <w:rFonts w:ascii="Cambria Math" w:hAnsi="Cambria Math"/>
        </w:rPr>
        <w:t xml:space="preserve"> subna</w:t>
      </w:r>
      <w:r w:rsidR="00DA0D83" w:rsidRPr="00C622B4">
        <w:rPr>
          <w:rFonts w:ascii="Cambria Math" w:hAnsi="Cambria Math"/>
        </w:rPr>
        <w:t>tional export</w:t>
      </w:r>
      <w:r w:rsidR="009D005E">
        <w:rPr>
          <w:rFonts w:ascii="Cambria Math" w:hAnsi="Cambria Math"/>
        </w:rPr>
        <w:t>s</w:t>
      </w:r>
      <w:r w:rsidR="00F7461F" w:rsidRPr="00C622B4">
        <w:rPr>
          <w:rFonts w:ascii="Cambria Math" w:hAnsi="Cambria Math"/>
        </w:rPr>
        <w:t xml:space="preserve"> </w:t>
      </w:r>
      <w:r w:rsidR="00BD6AE3">
        <w:rPr>
          <w:rFonts w:ascii="Cambria Math" w:hAnsi="Cambria Math"/>
        </w:rPr>
        <w:t xml:space="preserve">that </w:t>
      </w:r>
      <w:r w:rsidR="005145DB">
        <w:rPr>
          <w:rFonts w:ascii="Cambria Math" w:hAnsi="Cambria Math"/>
        </w:rPr>
        <w:t>reflect</w:t>
      </w:r>
      <w:r w:rsidR="008D7CB5">
        <w:rPr>
          <w:rFonts w:ascii="Cambria Math" w:hAnsi="Cambria Math"/>
        </w:rPr>
        <w:t xml:space="preserve"> </w:t>
      </w:r>
      <w:r w:rsidR="00FA4D65">
        <w:rPr>
          <w:rFonts w:ascii="Cambria Math" w:hAnsi="Cambria Math"/>
        </w:rPr>
        <w:t xml:space="preserve">the </w:t>
      </w:r>
      <w:r w:rsidR="008D7CB5">
        <w:rPr>
          <w:rFonts w:ascii="Cambria Math" w:hAnsi="Cambria Math"/>
        </w:rPr>
        <w:t xml:space="preserve">actual </w:t>
      </w:r>
      <w:r w:rsidR="00FA4D65">
        <w:rPr>
          <w:rFonts w:ascii="Cambria Math" w:hAnsi="Cambria Math"/>
        </w:rPr>
        <w:t>location</w:t>
      </w:r>
      <w:r w:rsidR="008D7CB5">
        <w:rPr>
          <w:rFonts w:ascii="Cambria Math" w:hAnsi="Cambria Math"/>
        </w:rPr>
        <w:t xml:space="preserve"> of production</w:t>
      </w:r>
      <w:r w:rsidR="005145DB">
        <w:rPr>
          <w:rFonts w:ascii="Cambria Math" w:hAnsi="Cambria Math"/>
        </w:rPr>
        <w:t xml:space="preserve"> outflows</w:t>
      </w:r>
      <w:r w:rsidR="009D005E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:rsidR="00A419CE" w:rsidRDefault="00F7461F">
      <w:pPr>
        <w:rPr>
          <w:rFonts w:ascii="Cambria Math" w:hAnsi="Cambria Math"/>
        </w:rPr>
      </w:pPr>
      <w:r w:rsidRPr="00C622B4">
        <w:rPr>
          <w:rFonts w:ascii="Cambria Math" w:hAnsi="Cambria Math"/>
        </w:rPr>
        <w:t xml:space="preserve">Given </w:t>
      </w:r>
      <w:r w:rsidR="00DA0D83" w:rsidRPr="00C622B4">
        <w:rPr>
          <w:rFonts w:ascii="Cambria Math" w:hAnsi="Cambria Math"/>
        </w:rPr>
        <w:t>this data deficit</w:t>
      </w:r>
      <w:r w:rsidR="008D7CB5">
        <w:rPr>
          <w:rFonts w:ascii="Cambria Math" w:hAnsi="Cambria Math"/>
        </w:rPr>
        <w:t xml:space="preserve">, traditional data science methods </w:t>
      </w:r>
      <w:r w:rsidR="005E0E21">
        <w:rPr>
          <w:rFonts w:ascii="Cambria Math" w:hAnsi="Cambria Math"/>
        </w:rPr>
        <w:t>that</w:t>
      </w:r>
      <w:r w:rsidR="008D7CB5">
        <w:rPr>
          <w:rFonts w:ascii="Cambria Math" w:hAnsi="Cambria Math"/>
        </w:rPr>
        <w:t xml:space="preserve"> rely on predictions based on </w:t>
      </w:r>
      <w:r w:rsidR="008B6222">
        <w:rPr>
          <w:rFonts w:ascii="Cambria Math" w:hAnsi="Cambria Math"/>
        </w:rPr>
        <w:t xml:space="preserve">samples or </w:t>
      </w:r>
      <w:r w:rsidR="008D7CB5">
        <w:rPr>
          <w:rFonts w:ascii="Cambria Math" w:hAnsi="Cambria Math"/>
        </w:rPr>
        <w:t xml:space="preserve">training data </w:t>
      </w:r>
      <w:r w:rsidR="005E0E21">
        <w:rPr>
          <w:rFonts w:ascii="Cambria Math" w:hAnsi="Cambria Math"/>
        </w:rPr>
        <w:t xml:space="preserve">are not </w:t>
      </w:r>
      <w:r w:rsidR="009B6447">
        <w:rPr>
          <w:rFonts w:ascii="Cambria Math" w:hAnsi="Cambria Math"/>
        </w:rPr>
        <w:t>as helpful</w:t>
      </w:r>
      <w:r w:rsidR="005E0E21">
        <w:rPr>
          <w:rFonts w:ascii="Cambria Math" w:hAnsi="Cambria Math"/>
        </w:rPr>
        <w:t xml:space="preserve"> and</w:t>
      </w:r>
      <w:r w:rsidR="005E0E21" w:rsidRPr="00C622B4">
        <w:rPr>
          <w:rFonts w:ascii="Cambria Math" w:hAnsi="Cambria Math"/>
        </w:rPr>
        <w:t xml:space="preserve"> we are forced to</w:t>
      </w:r>
      <w:r w:rsidR="005E0E21">
        <w:rPr>
          <w:rFonts w:ascii="Cambria Math" w:hAnsi="Cambria Math"/>
        </w:rPr>
        <w:t xml:space="preserve"> explore other techniques outside the traditional</w:t>
      </w:r>
      <w:r w:rsidR="005E0E21" w:rsidRPr="00C622B4">
        <w:rPr>
          <w:rFonts w:ascii="Cambria Math" w:hAnsi="Cambria Math"/>
        </w:rPr>
        <w:t xml:space="preserve"> taxonomy of models</w:t>
      </w:r>
      <w:r w:rsidR="005E0E21">
        <w:rPr>
          <w:rFonts w:ascii="Cambria Math" w:hAnsi="Cambria Math"/>
        </w:rPr>
        <w:t>.</w:t>
      </w:r>
    </w:p>
    <w:p w:rsidR="00AF336F" w:rsidRPr="00C622B4" w:rsidRDefault="00AF336F">
      <w:pPr>
        <w:rPr>
          <w:rFonts w:ascii="Cambria Math" w:hAnsi="Cambria Math"/>
        </w:rPr>
      </w:pPr>
    </w:p>
    <w:tbl>
      <w:tblPr>
        <w:tblW w:w="6453" w:type="dxa"/>
        <w:jc w:val="center"/>
        <w:tblLook w:val="04A0" w:firstRow="1" w:lastRow="0" w:firstColumn="1" w:lastColumn="0" w:noHBand="0" w:noVBand="1"/>
      </w:tblPr>
      <w:tblGrid>
        <w:gridCol w:w="1574"/>
        <w:gridCol w:w="2506"/>
        <w:gridCol w:w="2400"/>
      </w:tblGrid>
      <w:tr w:rsidR="00D26A6C" w:rsidRPr="00C622B4" w:rsidTr="009836C7">
        <w:trPr>
          <w:trHeight w:val="300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color w:val="000000"/>
              </w:rPr>
              <w:t> 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Continuous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Categorical</w:t>
            </w:r>
          </w:p>
        </w:tc>
      </w:tr>
      <w:tr w:rsidR="00D26A6C" w:rsidRPr="00C622B4" w:rsidTr="009836C7">
        <w:trPr>
          <w:trHeight w:val="300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Supervised: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9231BC" w:rsidP="00EB2EE7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color w:val="000000"/>
              </w:rPr>
              <w:t>R</w:t>
            </w:r>
            <w:r w:rsidR="00D26A6C" w:rsidRPr="00C622B4">
              <w:rPr>
                <w:rFonts w:ascii="Cambria Math" w:eastAsia="Times New Roman" w:hAnsi="Cambria Math" w:cs="Times New Roman"/>
                <w:color w:val="000000"/>
              </w:rPr>
              <w:t>egression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color w:val="000000"/>
              </w:rPr>
              <w:t>classification</w:t>
            </w:r>
          </w:p>
        </w:tc>
      </w:tr>
      <w:tr w:rsidR="00D26A6C" w:rsidRPr="00C622B4" w:rsidTr="009836C7">
        <w:trPr>
          <w:trHeight w:val="300"/>
          <w:jc w:val="center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 xml:space="preserve">Unsupervised: 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color w:val="000000"/>
              </w:rPr>
              <w:t>dimension reduction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A6C" w:rsidRPr="00C622B4" w:rsidRDefault="00D26A6C" w:rsidP="00D26A6C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</w:rPr>
            </w:pPr>
            <w:r w:rsidRPr="00C622B4">
              <w:rPr>
                <w:rFonts w:ascii="Cambria Math" w:eastAsia="Times New Roman" w:hAnsi="Cambria Math" w:cs="Times New Roman"/>
                <w:color w:val="000000"/>
              </w:rPr>
              <w:t>clustering</w:t>
            </w:r>
          </w:p>
        </w:tc>
      </w:tr>
    </w:tbl>
    <w:p w:rsidR="00A419CE" w:rsidRPr="00C622B4" w:rsidRDefault="00A419CE" w:rsidP="002536CE">
      <w:pPr>
        <w:rPr>
          <w:rFonts w:ascii="Cambria Math" w:hAnsi="Cambria Math"/>
        </w:rPr>
      </w:pPr>
    </w:p>
    <w:p w:rsidR="009B3441" w:rsidRPr="00C622B4" w:rsidRDefault="00A44CA8">
      <w:pPr>
        <w:rPr>
          <w:rFonts w:ascii="Cambria Math" w:hAnsi="Cambria Math"/>
        </w:rPr>
      </w:pPr>
      <w:r w:rsidRPr="00C622B4">
        <w:rPr>
          <w:rFonts w:ascii="Cambria Math" w:hAnsi="Cambria Math"/>
        </w:rPr>
        <w:t>O</w:t>
      </w:r>
      <w:r w:rsidR="00F7461F" w:rsidRPr="00C622B4">
        <w:rPr>
          <w:rFonts w:ascii="Cambria Math" w:hAnsi="Cambria Math"/>
        </w:rPr>
        <w:t>ne</w:t>
      </w:r>
      <w:r w:rsidR="002536CE" w:rsidRPr="00C622B4">
        <w:rPr>
          <w:rFonts w:ascii="Cambria Math" w:hAnsi="Cambria Math"/>
        </w:rPr>
        <w:t xml:space="preserve"> available</w:t>
      </w:r>
      <w:r w:rsidR="00DA0D83" w:rsidRPr="00C622B4">
        <w:rPr>
          <w:rFonts w:ascii="Cambria Math" w:hAnsi="Cambria Math"/>
        </w:rPr>
        <w:t xml:space="preserve"> </w:t>
      </w:r>
      <w:r w:rsidR="00F7461F" w:rsidRPr="00C622B4">
        <w:rPr>
          <w:rFonts w:ascii="Cambria Math" w:hAnsi="Cambria Math"/>
        </w:rPr>
        <w:t xml:space="preserve">solution is </w:t>
      </w:r>
      <w:r w:rsidR="00F16CAC">
        <w:rPr>
          <w:rFonts w:ascii="Cambria Math" w:hAnsi="Cambria Math"/>
        </w:rPr>
        <w:t>called allocation, a method that involves distributing</w:t>
      </w:r>
      <w:r w:rsidR="00F7461F" w:rsidRPr="00C622B4">
        <w:rPr>
          <w:rFonts w:ascii="Cambria Math" w:hAnsi="Cambria Math"/>
        </w:rPr>
        <w:t xml:space="preserve"> </w:t>
      </w:r>
      <w:r w:rsidR="00F16CAC">
        <w:rPr>
          <w:rFonts w:ascii="Cambria Math" w:hAnsi="Cambria Math"/>
        </w:rPr>
        <w:t>a</w:t>
      </w:r>
      <w:r w:rsidR="00F7461F" w:rsidRPr="00C622B4">
        <w:rPr>
          <w:rFonts w:ascii="Cambria Math" w:hAnsi="Cambria Math"/>
        </w:rPr>
        <w:t xml:space="preserve"> known control </w:t>
      </w:r>
      <w:r w:rsidR="00DA0D83" w:rsidRPr="00C622B4">
        <w:rPr>
          <w:rFonts w:ascii="Cambria Math" w:hAnsi="Cambria Math"/>
        </w:rPr>
        <w:t>total</w:t>
      </w:r>
      <w:r w:rsidR="00A419CE">
        <w:rPr>
          <w:rFonts w:ascii="Cambria Math" w:hAnsi="Cambria Math"/>
        </w:rPr>
        <w:t xml:space="preserve"> available at</w:t>
      </w:r>
      <w:r w:rsidR="00DA0D83" w:rsidRPr="00C622B4">
        <w:rPr>
          <w:rFonts w:ascii="Cambria Math" w:hAnsi="Cambria Math"/>
        </w:rPr>
        <w:t xml:space="preserve"> higher level</w:t>
      </w:r>
      <w:r w:rsidR="005145DB">
        <w:rPr>
          <w:rFonts w:ascii="Cambria Math" w:hAnsi="Cambria Math"/>
        </w:rPr>
        <w:t>s</w:t>
      </w:r>
      <w:r w:rsidR="00DA0D83" w:rsidRPr="00C622B4">
        <w:rPr>
          <w:rFonts w:ascii="Cambria Math" w:hAnsi="Cambria Math"/>
        </w:rPr>
        <w:t xml:space="preserve"> of aggregation down</w:t>
      </w:r>
      <w:r w:rsidR="005145DB">
        <w:rPr>
          <w:rFonts w:ascii="Cambria Math" w:hAnsi="Cambria Math"/>
        </w:rPr>
        <w:t xml:space="preserve"> to</w:t>
      </w:r>
      <w:r w:rsidR="00DA0D83" w:rsidRPr="00C622B4">
        <w:rPr>
          <w:rFonts w:ascii="Cambria Math" w:hAnsi="Cambria Math"/>
        </w:rPr>
        <w:t xml:space="preserve"> more detailed sub-level</w:t>
      </w:r>
      <w:r w:rsidR="005145DB">
        <w:rPr>
          <w:rFonts w:ascii="Cambria Math" w:hAnsi="Cambria Math"/>
        </w:rPr>
        <w:t>s</w:t>
      </w:r>
      <w:r w:rsidR="00CD0997" w:rsidRPr="00C622B4">
        <w:rPr>
          <w:rFonts w:ascii="Cambria Math" w:hAnsi="Cambria Math"/>
        </w:rPr>
        <w:t xml:space="preserve"> using shares calculated from </w:t>
      </w:r>
      <w:r w:rsidR="008C281C" w:rsidRPr="00C622B4">
        <w:rPr>
          <w:rFonts w:ascii="Cambria Math" w:hAnsi="Cambria Math"/>
        </w:rPr>
        <w:t xml:space="preserve">some other data </w:t>
      </w:r>
      <w:r w:rsidR="00CD0997" w:rsidRPr="00C622B4">
        <w:rPr>
          <w:rFonts w:ascii="Cambria Math" w:hAnsi="Cambria Math"/>
        </w:rPr>
        <w:t>source</w:t>
      </w:r>
      <w:r w:rsidR="009D005E">
        <w:rPr>
          <w:rFonts w:ascii="Cambria Math" w:hAnsi="Cambria Math"/>
        </w:rPr>
        <w:t xml:space="preserve"> that</w:t>
      </w:r>
      <w:r w:rsidR="005145DB">
        <w:rPr>
          <w:rFonts w:ascii="Cambria Math" w:hAnsi="Cambria Math"/>
        </w:rPr>
        <w:t xml:space="preserve"> strongly</w:t>
      </w:r>
      <w:r w:rsidR="00097FD3" w:rsidRPr="00C622B4">
        <w:rPr>
          <w:rFonts w:ascii="Cambria Math" w:hAnsi="Cambria Math"/>
        </w:rPr>
        <w:t xml:space="preserve"> correlate</w:t>
      </w:r>
      <w:r w:rsidR="009D005E">
        <w:rPr>
          <w:rFonts w:ascii="Cambria Math" w:hAnsi="Cambria Math"/>
        </w:rPr>
        <w:t>s</w:t>
      </w:r>
      <w:r w:rsidR="00097FD3" w:rsidRPr="00C622B4">
        <w:rPr>
          <w:rFonts w:ascii="Cambria Math" w:hAnsi="Cambria Math"/>
        </w:rPr>
        <w:t xml:space="preserve"> with the data we’re trying to estimate</w:t>
      </w:r>
      <w:r w:rsidR="00DA0D83" w:rsidRPr="00C622B4">
        <w:rPr>
          <w:rFonts w:ascii="Cambria Math" w:hAnsi="Cambria Math"/>
        </w:rPr>
        <w:t xml:space="preserve">. </w:t>
      </w:r>
      <w:r w:rsidR="00915947">
        <w:rPr>
          <w:rFonts w:ascii="Cambria Math" w:hAnsi="Cambria Math"/>
        </w:rPr>
        <w:t>In</w:t>
      </w:r>
      <w:r w:rsidR="00097FD3" w:rsidRPr="00C622B4">
        <w:rPr>
          <w:rFonts w:ascii="Cambria Math" w:hAnsi="Cambria Math"/>
        </w:rPr>
        <w:t xml:space="preserve"> the context of exports</w:t>
      </w:r>
      <w:r w:rsidR="005602F4">
        <w:rPr>
          <w:rFonts w:ascii="Cambria Math" w:hAnsi="Cambria Math"/>
        </w:rPr>
        <w:t xml:space="preserve">, </w:t>
      </w:r>
      <w:r w:rsidR="00915947">
        <w:rPr>
          <w:rFonts w:ascii="Cambria Math" w:hAnsi="Cambria Math"/>
        </w:rPr>
        <w:t xml:space="preserve">in the past </w:t>
      </w:r>
      <w:r w:rsidR="005602F4">
        <w:rPr>
          <w:rFonts w:ascii="Cambria Math" w:hAnsi="Cambria Math"/>
        </w:rPr>
        <w:t>I</w:t>
      </w:r>
      <w:r w:rsidR="00A419CE">
        <w:rPr>
          <w:rFonts w:ascii="Cambria Math" w:hAnsi="Cambria Math"/>
        </w:rPr>
        <w:t xml:space="preserve"> have</w:t>
      </w:r>
      <w:r w:rsidR="009B3441" w:rsidRPr="00C622B4">
        <w:rPr>
          <w:rFonts w:ascii="Cambria Math" w:hAnsi="Cambria Math"/>
        </w:rPr>
        <w:t xml:space="preserve"> allocated national exports to </w:t>
      </w:r>
      <w:r w:rsidR="00CD0997" w:rsidRPr="00C622B4">
        <w:rPr>
          <w:rFonts w:ascii="Cambria Math" w:hAnsi="Cambria Math"/>
        </w:rPr>
        <w:t>counties based</w:t>
      </w:r>
      <w:r w:rsidR="009B3441" w:rsidRPr="00C622B4">
        <w:rPr>
          <w:rFonts w:ascii="Cambria Math" w:hAnsi="Cambria Math"/>
        </w:rPr>
        <w:t xml:space="preserve"> on each counties share of national GDP for each industry. </w:t>
      </w:r>
      <w:r w:rsidR="00097FD3" w:rsidRPr="00C622B4">
        <w:rPr>
          <w:rFonts w:ascii="Cambria Math" w:hAnsi="Cambria Math"/>
        </w:rPr>
        <w:t>Mathematically, this process is</w:t>
      </w:r>
      <w:r w:rsidR="009B3441" w:rsidRPr="00C622B4">
        <w:rPr>
          <w:rFonts w:ascii="Cambria Math" w:hAnsi="Cambria Math"/>
        </w:rPr>
        <w:t xml:space="preserve"> as simple as multiplying a national</w:t>
      </w:r>
      <w:r w:rsidR="00DF0B13" w:rsidRPr="00C622B4">
        <w:rPr>
          <w:rFonts w:ascii="Cambria Math" w:hAnsi="Cambria Math"/>
        </w:rPr>
        <w:t xml:space="preserve"> export</w:t>
      </w:r>
      <w:r w:rsidR="00097FD3" w:rsidRPr="00C622B4">
        <w:rPr>
          <w:rFonts w:ascii="Cambria Math" w:hAnsi="Cambria Math"/>
        </w:rPr>
        <w:t xml:space="preserve"> total </w:t>
      </w:r>
      <w:r w:rsidR="00A419CE">
        <w:rPr>
          <w:rFonts w:ascii="Cambria Math" w:hAnsi="Cambria Math"/>
        </w:rPr>
        <w:t>against</w:t>
      </w:r>
      <w:r w:rsidR="00097FD3" w:rsidRPr="00C622B4">
        <w:rPr>
          <w:rFonts w:ascii="Cambria Math" w:hAnsi="Cambria Math"/>
        </w:rPr>
        <w:t xml:space="preserve"> each county’s</w:t>
      </w:r>
      <w:r w:rsidR="009B3441" w:rsidRPr="00C622B4">
        <w:rPr>
          <w:rFonts w:ascii="Cambria Math" w:hAnsi="Cambria Math"/>
        </w:rPr>
        <w:t xml:space="preserve"> share of the total</w:t>
      </w:r>
      <w:r w:rsidR="00DF0B13" w:rsidRPr="00C622B4">
        <w:rPr>
          <w:rFonts w:ascii="Cambria Math" w:hAnsi="Cambria Math"/>
        </w:rPr>
        <w:t xml:space="preserve"> GDP</w:t>
      </w:r>
      <w:r w:rsidR="00097FD3" w:rsidRPr="00C622B4">
        <w:rPr>
          <w:rFonts w:ascii="Cambria Math" w:hAnsi="Cambria Math"/>
        </w:rPr>
        <w:t xml:space="preserve"> for a given industry</w:t>
      </w:r>
      <w:r w:rsidR="009B3441" w:rsidRPr="00C622B4">
        <w:rPr>
          <w:rFonts w:ascii="Cambria Math" w:hAnsi="Cambria Math"/>
        </w:rPr>
        <w:t>.</w:t>
      </w:r>
    </w:p>
    <w:p w:rsidR="005602F4" w:rsidRDefault="00DA0D83">
      <w:pPr>
        <w:rPr>
          <w:rFonts w:ascii="Cambria Math" w:hAnsi="Cambria Math"/>
        </w:rPr>
      </w:pPr>
      <w:r w:rsidRPr="00C622B4">
        <w:rPr>
          <w:rFonts w:ascii="Cambria Math" w:hAnsi="Cambria Math"/>
        </w:rPr>
        <w:t>While this meth</w:t>
      </w:r>
      <w:r w:rsidR="00DF0B13" w:rsidRPr="00C622B4">
        <w:rPr>
          <w:rFonts w:ascii="Cambria Math" w:hAnsi="Cambria Math"/>
        </w:rPr>
        <w:t>od clearly solves the problem of</w:t>
      </w:r>
      <w:r w:rsidRPr="00C622B4">
        <w:rPr>
          <w:rFonts w:ascii="Cambria Math" w:hAnsi="Cambria Math"/>
        </w:rPr>
        <w:t xml:space="preserve"> finding </w:t>
      </w:r>
      <w:r w:rsidR="00DF0B13" w:rsidRPr="00C622B4">
        <w:rPr>
          <w:rFonts w:ascii="Cambria Math" w:hAnsi="Cambria Math"/>
        </w:rPr>
        <w:t xml:space="preserve">‘second-best’ </w:t>
      </w:r>
      <w:r w:rsidRPr="00C622B4">
        <w:rPr>
          <w:rFonts w:ascii="Cambria Math" w:hAnsi="Cambria Math"/>
        </w:rPr>
        <w:t>estimates when no data is available</w:t>
      </w:r>
      <w:r w:rsidR="00DF0B13" w:rsidRPr="00C622B4">
        <w:rPr>
          <w:rFonts w:ascii="Cambria Math" w:hAnsi="Cambria Math"/>
        </w:rPr>
        <w:t>,</w:t>
      </w:r>
      <w:r w:rsidRPr="00C622B4">
        <w:rPr>
          <w:rFonts w:ascii="Cambria Math" w:hAnsi="Cambria Math"/>
        </w:rPr>
        <w:t xml:space="preserve"> its main flaw is that it assumes that the </w:t>
      </w:r>
      <w:r w:rsidR="00F7461F" w:rsidRPr="00C622B4">
        <w:rPr>
          <w:rFonts w:ascii="Cambria Math" w:hAnsi="Cambria Math"/>
        </w:rPr>
        <w:t xml:space="preserve">distribution of </w:t>
      </w:r>
      <w:r w:rsidRPr="00C622B4">
        <w:rPr>
          <w:rFonts w:ascii="Cambria Math" w:hAnsi="Cambria Math"/>
        </w:rPr>
        <w:t>some outside</w:t>
      </w:r>
      <w:r w:rsidR="00F7461F" w:rsidRPr="00C622B4">
        <w:rPr>
          <w:rFonts w:ascii="Cambria Math" w:hAnsi="Cambria Math"/>
        </w:rPr>
        <w:t xml:space="preserve"> measure</w:t>
      </w:r>
      <w:r w:rsidR="00FA30BC" w:rsidRPr="00C622B4">
        <w:rPr>
          <w:rFonts w:ascii="Cambria Math" w:hAnsi="Cambria Math"/>
        </w:rPr>
        <w:t xml:space="preserve"> </w:t>
      </w:r>
      <w:r w:rsidR="00F7461F" w:rsidRPr="00C622B4">
        <w:rPr>
          <w:rFonts w:ascii="Cambria Math" w:hAnsi="Cambria Math"/>
        </w:rPr>
        <w:t>is</w:t>
      </w:r>
      <w:r w:rsidRPr="00C622B4">
        <w:rPr>
          <w:rFonts w:ascii="Cambria Math" w:hAnsi="Cambria Math"/>
        </w:rPr>
        <w:t xml:space="preserve"> perfectly</w:t>
      </w:r>
      <w:r w:rsidR="00F7461F" w:rsidRPr="00C622B4">
        <w:rPr>
          <w:rFonts w:ascii="Cambria Math" w:hAnsi="Cambria Math"/>
        </w:rPr>
        <w:t xml:space="preserve"> correlated with the measure we are trying to estimate</w:t>
      </w:r>
      <w:r w:rsidRPr="00C622B4">
        <w:rPr>
          <w:rFonts w:ascii="Cambria Math" w:hAnsi="Cambria Math"/>
        </w:rPr>
        <w:t>.</w:t>
      </w:r>
      <w:r w:rsidR="009B3441" w:rsidRPr="00C622B4">
        <w:rPr>
          <w:rFonts w:ascii="Cambria Math" w:hAnsi="Cambria Math"/>
        </w:rPr>
        <w:t xml:space="preserve"> </w:t>
      </w:r>
      <w:r w:rsidR="00DF0B13" w:rsidRPr="00C622B4">
        <w:rPr>
          <w:rFonts w:ascii="Cambria Math" w:hAnsi="Cambria Math"/>
        </w:rPr>
        <w:t>Clearly,</w:t>
      </w:r>
      <w:r w:rsidR="00616633">
        <w:rPr>
          <w:rFonts w:ascii="Cambria Math" w:hAnsi="Cambria Math"/>
        </w:rPr>
        <w:t xml:space="preserve"> exports do not </w:t>
      </w:r>
      <w:r w:rsidR="00A8051C" w:rsidRPr="00C622B4">
        <w:rPr>
          <w:rFonts w:ascii="Cambria Math" w:hAnsi="Cambria Math"/>
        </w:rPr>
        <w:t xml:space="preserve">have a </w:t>
      </w:r>
      <w:r w:rsidR="00DF0B13" w:rsidRPr="00C622B4">
        <w:rPr>
          <w:rFonts w:ascii="Cambria Math" w:hAnsi="Cambria Math"/>
        </w:rPr>
        <w:t>one-to-</w:t>
      </w:r>
      <w:r w:rsidRPr="00C622B4">
        <w:rPr>
          <w:rFonts w:ascii="Cambria Math" w:hAnsi="Cambria Math"/>
        </w:rPr>
        <w:t xml:space="preserve">one </w:t>
      </w:r>
      <w:r w:rsidR="00A8051C" w:rsidRPr="00C622B4">
        <w:rPr>
          <w:rFonts w:ascii="Cambria Math" w:hAnsi="Cambria Math"/>
        </w:rPr>
        <w:t xml:space="preserve">relationship </w:t>
      </w:r>
      <w:r w:rsidRPr="00C622B4">
        <w:rPr>
          <w:rFonts w:ascii="Cambria Math" w:hAnsi="Cambria Math"/>
        </w:rPr>
        <w:t xml:space="preserve">with output since some metros might produce products that better align with international demand than other places, i.e. </w:t>
      </w:r>
      <w:proofErr w:type="spellStart"/>
      <w:r w:rsidRPr="00C622B4">
        <w:rPr>
          <w:rFonts w:ascii="Cambria Math" w:hAnsi="Cambria Math"/>
        </w:rPr>
        <w:t>Witchita</w:t>
      </w:r>
      <w:proofErr w:type="spellEnd"/>
      <w:r w:rsidRPr="00C622B4">
        <w:rPr>
          <w:rFonts w:ascii="Cambria Math" w:hAnsi="Cambria Math"/>
        </w:rPr>
        <w:t xml:space="preserve"> and Denver may produce the same amount of aircraft</w:t>
      </w:r>
      <w:r w:rsidR="00A8051C" w:rsidRPr="00C622B4">
        <w:rPr>
          <w:rFonts w:ascii="Cambria Math" w:hAnsi="Cambria Math"/>
        </w:rPr>
        <w:t xml:space="preserve"> parts</w:t>
      </w:r>
      <w:r w:rsidRPr="00C622B4">
        <w:rPr>
          <w:rFonts w:ascii="Cambria Math" w:hAnsi="Cambria Math"/>
        </w:rPr>
        <w:t xml:space="preserve">, but differ in </w:t>
      </w:r>
      <w:r w:rsidR="00097FD3" w:rsidRPr="00C622B4">
        <w:rPr>
          <w:rFonts w:ascii="Cambria Math" w:hAnsi="Cambria Math"/>
        </w:rPr>
        <w:t>their actual export propensity</w:t>
      </w:r>
      <w:r w:rsidR="00077E31">
        <w:rPr>
          <w:rFonts w:ascii="Cambria Math" w:hAnsi="Cambria Math"/>
        </w:rPr>
        <w:t xml:space="preserve"> (Denver may primarily produce military aircraft sold domestically</w:t>
      </w:r>
      <w:r w:rsidR="00616633">
        <w:rPr>
          <w:rFonts w:ascii="Cambria Math" w:hAnsi="Cambria Math"/>
        </w:rPr>
        <w:t xml:space="preserve">, </w:t>
      </w:r>
      <w:proofErr w:type="spellStart"/>
      <w:r w:rsidR="00616633">
        <w:rPr>
          <w:rFonts w:ascii="Cambria Math" w:hAnsi="Cambria Math"/>
        </w:rPr>
        <w:t>Witchita</w:t>
      </w:r>
      <w:proofErr w:type="spellEnd"/>
      <w:r w:rsidR="00616633">
        <w:rPr>
          <w:rFonts w:ascii="Cambria Math" w:hAnsi="Cambria Math"/>
        </w:rPr>
        <w:t xml:space="preserve"> might more produce aircraft parts sold internationally</w:t>
      </w:r>
      <w:r w:rsidR="00077E31">
        <w:rPr>
          <w:rFonts w:ascii="Cambria Math" w:hAnsi="Cambria Math"/>
        </w:rPr>
        <w:t>)</w:t>
      </w:r>
      <w:r w:rsidR="00097FD3" w:rsidRPr="00C622B4">
        <w:rPr>
          <w:rFonts w:ascii="Cambria Math" w:hAnsi="Cambria Math"/>
        </w:rPr>
        <w:t>.</w:t>
      </w:r>
      <w:r w:rsidRPr="00C622B4">
        <w:rPr>
          <w:rFonts w:ascii="Cambria Math" w:hAnsi="Cambria Math"/>
        </w:rPr>
        <w:t xml:space="preserve"> </w:t>
      </w:r>
    </w:p>
    <w:p w:rsidR="00A419CE" w:rsidRPr="00C622B4" w:rsidRDefault="00A419CE">
      <w:pPr>
        <w:rPr>
          <w:rFonts w:ascii="Cambria Math" w:hAnsi="Cambria Math"/>
        </w:rPr>
      </w:pPr>
    </w:p>
    <w:p w:rsidR="004F238B" w:rsidRPr="00C622B4" w:rsidRDefault="004F238B">
      <w:pPr>
        <w:rPr>
          <w:rFonts w:ascii="Cambria Math" w:hAnsi="Cambria Math"/>
        </w:rPr>
      </w:pPr>
      <w:r w:rsidRPr="00C622B4">
        <w:rPr>
          <w:rFonts w:ascii="Cambria Math" w:hAnsi="Cambria Math"/>
          <w:b/>
        </w:rPr>
        <w:t>My Project</w:t>
      </w:r>
    </w:p>
    <w:p w:rsidR="00CE53D7" w:rsidRPr="00C622B4" w:rsidRDefault="00F7461F">
      <w:pPr>
        <w:rPr>
          <w:rFonts w:ascii="Cambria Math" w:hAnsi="Cambria Math"/>
        </w:rPr>
      </w:pPr>
      <w:r w:rsidRPr="00C622B4">
        <w:rPr>
          <w:rFonts w:ascii="Cambria Math" w:hAnsi="Cambria Math"/>
        </w:rPr>
        <w:t>The</w:t>
      </w:r>
      <w:r w:rsidR="00DA0D83" w:rsidRPr="00C622B4">
        <w:rPr>
          <w:rFonts w:ascii="Cambria Math" w:hAnsi="Cambria Math"/>
        </w:rPr>
        <w:t xml:space="preserve"> innovation I performed for my</w:t>
      </w:r>
      <w:r w:rsidRPr="00C622B4">
        <w:rPr>
          <w:rFonts w:ascii="Cambria Math" w:hAnsi="Cambria Math"/>
        </w:rPr>
        <w:t xml:space="preserve"> project</w:t>
      </w:r>
      <w:r w:rsidR="00DA0D83" w:rsidRPr="00C622B4">
        <w:rPr>
          <w:rFonts w:ascii="Cambria Math" w:hAnsi="Cambria Math"/>
        </w:rPr>
        <w:t xml:space="preserve"> </w:t>
      </w:r>
      <w:r w:rsidRPr="00C622B4">
        <w:rPr>
          <w:rFonts w:ascii="Cambria Math" w:hAnsi="Cambria Math"/>
        </w:rPr>
        <w:t xml:space="preserve">is that I </w:t>
      </w:r>
      <w:r w:rsidR="00DA0D83" w:rsidRPr="00C622B4">
        <w:rPr>
          <w:rFonts w:ascii="Cambria Math" w:hAnsi="Cambria Math"/>
        </w:rPr>
        <w:t>introduc</w:t>
      </w:r>
      <w:r w:rsidR="00FE031F">
        <w:rPr>
          <w:rFonts w:ascii="Cambria Math" w:hAnsi="Cambria Math"/>
        </w:rPr>
        <w:t xml:space="preserve">ed several new data sets that </w:t>
      </w:r>
      <w:r w:rsidR="00DA0D83" w:rsidRPr="00C622B4">
        <w:rPr>
          <w:rFonts w:ascii="Cambria Math" w:hAnsi="Cambria Math"/>
        </w:rPr>
        <w:t xml:space="preserve">better approximate actual export </w:t>
      </w:r>
      <w:r w:rsidR="004F238B" w:rsidRPr="00C622B4">
        <w:rPr>
          <w:rFonts w:ascii="Cambria Math" w:hAnsi="Cambria Math"/>
        </w:rPr>
        <w:t>performance</w:t>
      </w:r>
      <w:r w:rsidR="00097FD3" w:rsidRPr="00C622B4">
        <w:rPr>
          <w:rFonts w:ascii="Cambria Math" w:hAnsi="Cambria Math"/>
        </w:rPr>
        <w:t xml:space="preserve"> than GDP</w:t>
      </w:r>
      <w:r w:rsidR="004F238B" w:rsidRPr="00C622B4">
        <w:rPr>
          <w:rFonts w:ascii="Cambria Math" w:hAnsi="Cambria Math"/>
        </w:rPr>
        <w:t xml:space="preserve">. </w:t>
      </w:r>
      <w:r w:rsidR="00616633">
        <w:rPr>
          <w:rFonts w:ascii="Cambria Math" w:hAnsi="Cambria Math"/>
        </w:rPr>
        <w:t xml:space="preserve"> </w:t>
      </w:r>
    </w:p>
    <w:p w:rsidR="00DA0D83" w:rsidRDefault="00CD0997">
      <w:pPr>
        <w:rPr>
          <w:rFonts w:ascii="Cambria Math" w:hAnsi="Cambria Math"/>
        </w:rPr>
      </w:pPr>
      <w:r w:rsidRPr="00C622B4">
        <w:rPr>
          <w:rFonts w:ascii="Cambria Math" w:hAnsi="Cambria Math"/>
        </w:rPr>
        <w:t>These data sets include</w:t>
      </w:r>
      <w:r w:rsidR="00097FD3" w:rsidRPr="00C622B4">
        <w:rPr>
          <w:rFonts w:ascii="Cambria Math" w:hAnsi="Cambria Math"/>
        </w:rPr>
        <w:t xml:space="preserve"> </w:t>
      </w:r>
      <w:r w:rsidR="00616633">
        <w:rPr>
          <w:rFonts w:ascii="Cambria Math" w:hAnsi="Cambria Math"/>
        </w:rPr>
        <w:t>(see spatial allocation section):</w:t>
      </w:r>
    </w:p>
    <w:p w:rsidR="008941B4" w:rsidRPr="00C622B4" w:rsidRDefault="008941B4">
      <w:pPr>
        <w:rPr>
          <w:rFonts w:ascii="Cambria Math" w:hAnsi="Cambria Math"/>
        </w:rPr>
      </w:pPr>
    </w:p>
    <w:tbl>
      <w:tblPr>
        <w:tblW w:w="10205" w:type="dxa"/>
        <w:tblLook w:val="04A0" w:firstRow="1" w:lastRow="0" w:firstColumn="1" w:lastColumn="0" w:noHBand="0" w:noVBand="1"/>
      </w:tblPr>
      <w:tblGrid>
        <w:gridCol w:w="1407"/>
        <w:gridCol w:w="3128"/>
        <w:gridCol w:w="1513"/>
        <w:gridCol w:w="319"/>
        <w:gridCol w:w="1654"/>
        <w:gridCol w:w="2184"/>
      </w:tblGrid>
      <w:tr w:rsidR="00EB69FA" w:rsidRPr="00231F46" w:rsidTr="00C622B4">
        <w:trPr>
          <w:trHeight w:val="31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  <w:t>Data Series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15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Goods Exports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NAICS 4 Domestic Goods Exports by U.S.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Census USA Trade Online Goods Exports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Service Exports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Services Exports by U.S.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BEA Table 3.1 Service Exports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Detailed Services Exports by U.S.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2003-2012*</w:t>
            </w: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BEA Table 1a Detailed Other Business Professional Technical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Detailed Travel &amp; Tourism Spending by U.S.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BEA Travel Tourism Satellite Industry Accounts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Detailed Royalties Industry Receipts by U.S.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2003-2011*</w:t>
            </w: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IRS Royalties Table 7 Corporate Returns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Inflation Adjustments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GDP Price Index by U.S.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BEA Table 1.1.4 Price Indexes for Gross Domestic Product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Goods Export Price Index by U.S.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BLS Producer Price Index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Agriculture &amp; Services Export Price Index by U.S.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BEA NIPA Table 4.2.4 Price Indexes for Exports and Imports of Goods and Services by Type of Product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Spatial Allocation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 xml:space="preserve">NAICS 4 GDP by County 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Moody's Analytics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NAICS 3241 Exports by Petrol. Admin. Defense Districts (PADDs)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Energy Information Administration's Total Crude Oil and Petroleum Products Exports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 xml:space="preserve">Intl. Origin, Destination, </w:t>
            </w:r>
            <w:proofErr w:type="spellStart"/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Passthrough</w:t>
            </w:r>
            <w:proofErr w:type="spellEnd"/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 xml:space="preserve"> Flights by Airport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2003, 2010*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E031F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Sabre analysis of U.S. Department of Transportation’s Bureau of Transportation Statistics International Flight Data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International Student Spending by Institution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NAFSA analysis of IIE's Open Doors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SCTG 2 Exports by MSA and non-MSA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2010*</w:t>
            </w:r>
          </w:p>
          <w:p w:rsidR="00FE031F" w:rsidRPr="008941B4" w:rsidRDefault="00FE031F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 xml:space="preserve">EDR analysis of U.S. Department of Transportation's Freight Analysis </w:t>
            </w:r>
            <w:proofErr w:type="spellStart"/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Framwork</w:t>
            </w:r>
            <w:proofErr w:type="spellEnd"/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 xml:space="preserve">, IMPLAN, WISER Trade, Oak Ridge </w:t>
            </w:r>
            <w:proofErr w:type="spellStart"/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Intercounty</w:t>
            </w:r>
            <w:proofErr w:type="spellEnd"/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 xml:space="preserve"> Impedances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Jobs Estimation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NAICS 3-4 Direct &amp; Total Multipliers by U.S.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2003-2012*</w:t>
            </w:r>
          </w:p>
        </w:tc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BLS Employment Requirements Matrix</w:t>
            </w:r>
          </w:p>
        </w:tc>
      </w:tr>
      <w:tr w:rsidR="00EB69FA" w:rsidRPr="00231F46" w:rsidTr="00C622B4">
        <w:trPr>
          <w:trHeight w:val="300"/>
        </w:trPr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NAICS 3-4 Direct &amp; Total Tourism-related Emp. by U.S.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w:t>2003-2013</w:t>
            </w:r>
          </w:p>
        </w:tc>
        <w:tc>
          <w:tcPr>
            <w:tcW w:w="4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B69FA" w:rsidRPr="008941B4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</w:pPr>
            <w:r w:rsidRPr="008941B4">
              <w:rPr>
                <w:rFonts w:ascii="Cambria Math" w:eastAsia="Times New Roman" w:hAnsi="Cambria Math" w:cs="Arial"/>
                <w:i/>
                <w:iCs/>
                <w:color w:val="000000"/>
                <w:sz w:val="20"/>
                <w:szCs w:val="20"/>
              </w:rPr>
              <w:t>BEA Travel Tourism Satellite Industry Accounts</w:t>
            </w:r>
          </w:p>
        </w:tc>
      </w:tr>
      <w:tr w:rsidR="00D26A6C" w:rsidRPr="00231F46" w:rsidTr="00C622B4">
        <w:trPr>
          <w:trHeight w:val="300"/>
        </w:trPr>
        <w:tc>
          <w:tcPr>
            <w:tcW w:w="6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9FA" w:rsidRPr="00231F46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</w:rPr>
            </w:pPr>
            <w:r w:rsidRPr="00231F46"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</w:rPr>
              <w:t>*Some values were imputed or interpolated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9FA" w:rsidRPr="00231F46" w:rsidRDefault="00EB69FA" w:rsidP="00EB69FA">
            <w:pPr>
              <w:spacing w:after="0" w:line="240" w:lineRule="auto"/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9FA" w:rsidRPr="00231F46" w:rsidRDefault="00EB69FA" w:rsidP="00EB69FA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9FA" w:rsidRPr="00231F46" w:rsidRDefault="00EB69FA" w:rsidP="00EB69FA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</w:tr>
    </w:tbl>
    <w:p w:rsidR="00EB69FA" w:rsidRPr="00231F46" w:rsidRDefault="00EB69FA">
      <w:pPr>
        <w:rPr>
          <w:rFonts w:ascii="Cambria Math" w:hAnsi="Cambria Math"/>
        </w:rPr>
      </w:pPr>
    </w:p>
    <w:p w:rsidR="00616633" w:rsidRPr="00231F46" w:rsidRDefault="00616633" w:rsidP="00616633">
      <w:pPr>
        <w:rPr>
          <w:rFonts w:ascii="Cambria Math" w:hAnsi="Cambria Math"/>
        </w:rPr>
      </w:pPr>
      <w:r>
        <w:rPr>
          <w:rFonts w:ascii="Cambria Math" w:hAnsi="Cambria Math"/>
        </w:rPr>
        <w:t>T</w:t>
      </w:r>
      <w:r w:rsidRPr="00231F46">
        <w:rPr>
          <w:rFonts w:ascii="Cambria Math" w:hAnsi="Cambria Math"/>
        </w:rPr>
        <w:t xml:space="preserve">he main challenge in introducing several different </w:t>
      </w:r>
      <w:r w:rsidR="005418FC">
        <w:rPr>
          <w:rFonts w:ascii="Cambria Math" w:hAnsi="Cambria Math"/>
        </w:rPr>
        <w:t xml:space="preserve">data sets </w:t>
      </w:r>
      <w:r w:rsidR="00F16CAC">
        <w:rPr>
          <w:rFonts w:ascii="Cambria Math" w:hAnsi="Cambria Math"/>
        </w:rPr>
        <w:t>is that</w:t>
      </w:r>
      <w:r w:rsidRPr="00231F46">
        <w:rPr>
          <w:rFonts w:ascii="Cambria Math" w:hAnsi="Cambria Math"/>
        </w:rPr>
        <w:t xml:space="preserve"> </w:t>
      </w:r>
      <w:r w:rsidR="005418FC">
        <w:rPr>
          <w:rFonts w:ascii="Cambria Math" w:hAnsi="Cambria Math"/>
        </w:rPr>
        <w:t>we</w:t>
      </w:r>
      <w:r w:rsidRPr="00231F46">
        <w:rPr>
          <w:rFonts w:ascii="Cambria Math" w:hAnsi="Cambria Math"/>
        </w:rPr>
        <w:t xml:space="preserve">’ll need to utilize a constraint satisfaction algorithm to ensure the solutions </w:t>
      </w:r>
      <w:r w:rsidR="000E5ED3">
        <w:rPr>
          <w:rFonts w:ascii="Cambria Math" w:hAnsi="Cambria Math"/>
        </w:rPr>
        <w:t>satisfy the multiple control totals</w:t>
      </w:r>
      <w:r w:rsidRPr="00231F46">
        <w:rPr>
          <w:rFonts w:ascii="Cambria Math" w:hAnsi="Cambria Math"/>
        </w:rPr>
        <w:t>.</w:t>
      </w:r>
      <w:r w:rsidR="000E5ED3">
        <w:rPr>
          <w:rFonts w:ascii="Cambria Math" w:hAnsi="Cambria Math"/>
        </w:rPr>
        <w:t xml:space="preserve"> Moreover, this is a fairly basic combinatorial optimization problem somewhat in the vein of a scaled-up version of Sudoku. </w:t>
      </w:r>
    </w:p>
    <w:p w:rsidR="00231F46" w:rsidRPr="00231F46" w:rsidRDefault="00354E25" w:rsidP="00FC1E70">
      <w:pPr>
        <w:tabs>
          <w:tab w:val="left" w:pos="8400"/>
        </w:tabs>
        <w:rPr>
          <w:rFonts w:ascii="Cambria Math" w:hAnsi="Cambria Math"/>
        </w:rPr>
      </w:pPr>
      <w:r w:rsidRPr="00231F46">
        <w:rPr>
          <w:rFonts w:ascii="Cambria Math" w:hAnsi="Cambria Math"/>
        </w:rPr>
        <w:tab/>
      </w:r>
    </w:p>
    <w:p w:rsidR="004F238B" w:rsidRPr="00231F46" w:rsidRDefault="004F238B" w:rsidP="00FE031F">
      <w:pPr>
        <w:tabs>
          <w:tab w:val="left" w:pos="3360"/>
        </w:tabs>
        <w:rPr>
          <w:rFonts w:ascii="Cambria Math" w:hAnsi="Cambria Math"/>
          <w:b/>
        </w:rPr>
      </w:pPr>
      <w:r w:rsidRPr="00231F46">
        <w:rPr>
          <w:rFonts w:ascii="Cambria Math" w:hAnsi="Cambria Math"/>
          <w:b/>
        </w:rPr>
        <w:t>Implementation</w:t>
      </w:r>
      <w:r w:rsidR="00FE031F">
        <w:rPr>
          <w:rFonts w:ascii="Cambria Math" w:hAnsi="Cambria Math"/>
          <w:b/>
        </w:rPr>
        <w:tab/>
      </w:r>
    </w:p>
    <w:p w:rsidR="00DA0D83" w:rsidRPr="00231F46" w:rsidRDefault="00A8051C">
      <w:pPr>
        <w:rPr>
          <w:rFonts w:ascii="Cambria Math" w:hAnsi="Cambria Math"/>
        </w:rPr>
      </w:pPr>
      <w:r w:rsidRPr="00231F46">
        <w:rPr>
          <w:rFonts w:ascii="Cambria Math" w:hAnsi="Cambria Math"/>
        </w:rPr>
        <w:t>Fortunately</w:t>
      </w:r>
      <w:r w:rsidR="00FE031F">
        <w:rPr>
          <w:rFonts w:ascii="Cambria Math" w:hAnsi="Cambria Math"/>
        </w:rPr>
        <w:t>,</w:t>
      </w:r>
      <w:r w:rsidRPr="00231F46">
        <w:rPr>
          <w:rFonts w:ascii="Cambria Math" w:hAnsi="Cambria Math"/>
        </w:rPr>
        <w:t xml:space="preserve"> </w:t>
      </w:r>
      <w:r w:rsidR="00FC1E70">
        <w:rPr>
          <w:rFonts w:ascii="Cambria Math" w:hAnsi="Cambria Math"/>
        </w:rPr>
        <w:t>there is</w:t>
      </w:r>
      <w:r w:rsidR="00EC7EF8" w:rsidRPr="00231F46">
        <w:rPr>
          <w:rFonts w:ascii="Cambria Math" w:hAnsi="Cambria Math"/>
        </w:rPr>
        <w:t xml:space="preserve"> an algorithm </w:t>
      </w:r>
      <w:r w:rsidRPr="00231F46">
        <w:rPr>
          <w:rFonts w:ascii="Cambria Math" w:hAnsi="Cambria Math"/>
        </w:rPr>
        <w:t>t</w:t>
      </w:r>
      <w:r w:rsidR="00F16CAC">
        <w:rPr>
          <w:rFonts w:ascii="Cambria Math" w:hAnsi="Cambria Math"/>
        </w:rPr>
        <w:t xml:space="preserve">hat </w:t>
      </w:r>
      <w:r w:rsidR="00BF265A">
        <w:rPr>
          <w:rFonts w:ascii="Cambria Math" w:hAnsi="Cambria Math"/>
        </w:rPr>
        <w:t>can generate</w:t>
      </w:r>
      <w:r w:rsidR="00F16CAC">
        <w:rPr>
          <w:rFonts w:ascii="Cambria Math" w:hAnsi="Cambria Math"/>
        </w:rPr>
        <w:t xml:space="preserve"> </w:t>
      </w:r>
      <w:r w:rsidR="00FE031F">
        <w:rPr>
          <w:rFonts w:ascii="Cambria Math" w:hAnsi="Cambria Math"/>
        </w:rPr>
        <w:t>a solution that</w:t>
      </w:r>
      <w:r w:rsidR="004D371C">
        <w:rPr>
          <w:rFonts w:ascii="Cambria Math" w:hAnsi="Cambria Math"/>
        </w:rPr>
        <w:t xml:space="preserve"> </w:t>
      </w:r>
      <w:r w:rsidR="00FE031F">
        <w:rPr>
          <w:rFonts w:ascii="Cambria Math" w:hAnsi="Cambria Math"/>
        </w:rPr>
        <w:t>satisfies</w:t>
      </w:r>
      <w:r w:rsidR="004D371C">
        <w:rPr>
          <w:rFonts w:ascii="Cambria Math" w:hAnsi="Cambria Math"/>
        </w:rPr>
        <w:t xml:space="preserve"> all</w:t>
      </w:r>
      <w:r w:rsidR="00FC1E70">
        <w:rPr>
          <w:rFonts w:ascii="Cambria Math" w:hAnsi="Cambria Math"/>
        </w:rPr>
        <w:t xml:space="preserve"> constraints </w:t>
      </w:r>
      <w:r w:rsidR="005418FC">
        <w:rPr>
          <w:rFonts w:ascii="Cambria Math" w:hAnsi="Cambria Math"/>
        </w:rPr>
        <w:t>imposed by</w:t>
      </w:r>
      <w:r w:rsidR="00FE031F">
        <w:rPr>
          <w:rFonts w:ascii="Cambria Math" w:hAnsi="Cambria Math"/>
        </w:rPr>
        <w:t xml:space="preserve"> </w:t>
      </w:r>
      <w:r w:rsidR="00F16CAC">
        <w:rPr>
          <w:rFonts w:ascii="Cambria Math" w:hAnsi="Cambria Math"/>
        </w:rPr>
        <w:t>the</w:t>
      </w:r>
      <w:r w:rsidR="00FE031F">
        <w:rPr>
          <w:rFonts w:ascii="Cambria Math" w:hAnsi="Cambria Math"/>
        </w:rPr>
        <w:t xml:space="preserve"> control totals</w:t>
      </w:r>
      <w:r w:rsidRPr="00231F46">
        <w:rPr>
          <w:rFonts w:ascii="Cambria Math" w:hAnsi="Cambria Math"/>
        </w:rPr>
        <w:t>.</w:t>
      </w:r>
      <w:r w:rsidR="00EC7EF8" w:rsidRPr="00231F46">
        <w:rPr>
          <w:rFonts w:ascii="Cambria Math" w:hAnsi="Cambria Math"/>
        </w:rPr>
        <w:t xml:space="preserve"> </w:t>
      </w:r>
    </w:p>
    <w:p w:rsidR="00FA30BC" w:rsidRDefault="00FA30BC">
      <w:pPr>
        <w:rPr>
          <w:rFonts w:ascii="Cambria Math" w:hAnsi="Cambria Math"/>
        </w:rPr>
      </w:pPr>
      <w:r w:rsidRPr="00231F46">
        <w:rPr>
          <w:rFonts w:ascii="Cambria Math" w:hAnsi="Cambria Math"/>
        </w:rPr>
        <w:lastRenderedPageBreak/>
        <w:t>Its key assumption is that all control</w:t>
      </w:r>
      <w:r w:rsidR="00F16CAC">
        <w:rPr>
          <w:rFonts w:ascii="Cambria Math" w:hAnsi="Cambria Math"/>
        </w:rPr>
        <w:t xml:space="preserve">s </w:t>
      </w:r>
      <w:r w:rsidRPr="00231F46">
        <w:rPr>
          <w:rFonts w:ascii="Cambria Math" w:hAnsi="Cambria Math"/>
        </w:rPr>
        <w:t xml:space="preserve">are mutually consistent </w:t>
      </w:r>
      <w:r w:rsidR="00CD0997" w:rsidRPr="00231F46">
        <w:rPr>
          <w:rFonts w:ascii="Cambria Math" w:hAnsi="Cambria Math"/>
        </w:rPr>
        <w:t xml:space="preserve">and </w:t>
      </w:r>
      <w:r w:rsidRPr="00231F46">
        <w:rPr>
          <w:rFonts w:ascii="Cambria Math" w:hAnsi="Cambria Math"/>
        </w:rPr>
        <w:t>are structured in a</w:t>
      </w:r>
      <w:r w:rsidR="00FC1E70">
        <w:rPr>
          <w:rFonts w:ascii="Cambria Math" w:hAnsi="Cambria Math"/>
        </w:rPr>
        <w:t>n</w:t>
      </w:r>
      <w:r w:rsidR="00B34E59" w:rsidRPr="00231F46">
        <w:rPr>
          <w:rFonts w:ascii="Cambria Math" w:hAnsi="Cambria Math"/>
        </w:rPr>
        <w:t xml:space="preserve"> </w:t>
      </w:r>
      <w:r w:rsidR="00FC1E70">
        <w:rPr>
          <w:rFonts w:ascii="Cambria Math" w:hAnsi="Cambria Math"/>
        </w:rPr>
        <w:t xml:space="preserve">orderly </w:t>
      </w:r>
      <w:r w:rsidRPr="00231F46">
        <w:rPr>
          <w:rFonts w:ascii="Cambria Math" w:hAnsi="Cambria Math"/>
        </w:rPr>
        <w:t xml:space="preserve">hierarchical </w:t>
      </w:r>
      <w:r w:rsidR="00B34E59" w:rsidRPr="00231F46">
        <w:rPr>
          <w:rFonts w:ascii="Cambria Math" w:hAnsi="Cambria Math"/>
        </w:rPr>
        <w:t>manner</w:t>
      </w:r>
      <w:r w:rsidR="00FC1E70">
        <w:rPr>
          <w:rFonts w:ascii="Cambria Math" w:hAnsi="Cambria Math"/>
        </w:rPr>
        <w:t xml:space="preserve"> so that it’s possible to </w:t>
      </w:r>
      <w:r w:rsidR="00F16CAC">
        <w:rPr>
          <w:rFonts w:ascii="Cambria Math" w:hAnsi="Cambria Math"/>
        </w:rPr>
        <w:t xml:space="preserve">decompose </w:t>
      </w:r>
      <w:r w:rsidR="0009179F">
        <w:rPr>
          <w:rFonts w:ascii="Cambria Math" w:hAnsi="Cambria Math"/>
        </w:rPr>
        <w:t xml:space="preserve">the control </w:t>
      </w:r>
      <w:r w:rsidR="00F16CAC">
        <w:rPr>
          <w:rFonts w:ascii="Cambria Math" w:hAnsi="Cambria Math"/>
        </w:rPr>
        <w:t>totals into common subparts</w:t>
      </w:r>
      <w:r w:rsidRPr="00231F46">
        <w:rPr>
          <w:rFonts w:ascii="Cambria Math" w:hAnsi="Cambria Math"/>
        </w:rPr>
        <w:t>.</w:t>
      </w:r>
      <w:r w:rsidR="00FC1E70">
        <w:rPr>
          <w:rFonts w:ascii="Cambria Math" w:hAnsi="Cambria Math"/>
        </w:rPr>
        <w:t xml:space="preserve"> In my data, I </w:t>
      </w:r>
      <w:r w:rsidR="00C50BE6">
        <w:rPr>
          <w:rFonts w:ascii="Cambria Math" w:hAnsi="Cambria Math"/>
        </w:rPr>
        <w:t>forced</w:t>
      </w:r>
      <w:r w:rsidR="00231F46" w:rsidRPr="00231F46">
        <w:rPr>
          <w:rFonts w:ascii="Cambria Math" w:hAnsi="Cambria Math"/>
        </w:rPr>
        <w:t xml:space="preserve"> all the control totals to tie out</w:t>
      </w:r>
      <w:r w:rsidR="00C50BE6">
        <w:rPr>
          <w:rFonts w:ascii="Cambria Math" w:hAnsi="Cambria Math"/>
        </w:rPr>
        <w:t xml:space="preserve"> with national statistics</w:t>
      </w:r>
      <w:r w:rsidR="00CD0997" w:rsidRPr="00231F46">
        <w:rPr>
          <w:rFonts w:ascii="Cambria Math" w:hAnsi="Cambria Math"/>
        </w:rPr>
        <w:t xml:space="preserve"> and built</w:t>
      </w:r>
      <w:r w:rsidR="00C50BE6">
        <w:rPr>
          <w:rFonts w:ascii="Cambria Math" w:hAnsi="Cambria Math"/>
        </w:rPr>
        <w:t xml:space="preserve"> non-overlapping</w:t>
      </w:r>
      <w:r w:rsidR="00CD0997" w:rsidRPr="00231F46">
        <w:rPr>
          <w:rFonts w:ascii="Cambria Math" w:hAnsi="Cambria Math"/>
        </w:rPr>
        <w:t xml:space="preserve"> schemas </w:t>
      </w:r>
      <w:r w:rsidR="00B34E59" w:rsidRPr="00231F46">
        <w:rPr>
          <w:rFonts w:ascii="Cambria Math" w:hAnsi="Cambria Math"/>
        </w:rPr>
        <w:t>so that it would</w:t>
      </w:r>
      <w:r w:rsidR="00CD0997" w:rsidRPr="00231F46">
        <w:rPr>
          <w:rFonts w:ascii="Cambria Math" w:hAnsi="Cambria Math"/>
        </w:rPr>
        <w:t xml:space="preserve"> be possible to</w:t>
      </w:r>
      <w:r w:rsidR="005F1823">
        <w:rPr>
          <w:rFonts w:ascii="Cambria Math" w:hAnsi="Cambria Math"/>
        </w:rPr>
        <w:t xml:space="preserve"> cleanly</w:t>
      </w:r>
      <w:r w:rsidR="00CD0997" w:rsidRPr="00231F46">
        <w:rPr>
          <w:rFonts w:ascii="Cambria Math" w:hAnsi="Cambria Math"/>
        </w:rPr>
        <w:t xml:space="preserve"> </w:t>
      </w:r>
      <w:r w:rsidR="00F16CAC">
        <w:rPr>
          <w:rFonts w:ascii="Cambria Math" w:hAnsi="Cambria Math"/>
        </w:rPr>
        <w:t>move between levels of aggregation</w:t>
      </w:r>
      <w:r w:rsidR="00CD0997" w:rsidRPr="00231F46">
        <w:rPr>
          <w:rFonts w:ascii="Cambria Math" w:hAnsi="Cambria Math"/>
        </w:rPr>
        <w:t>.</w:t>
      </w:r>
    </w:p>
    <w:p w:rsidR="005726E2" w:rsidRDefault="00FE031F">
      <w:pPr>
        <w:rPr>
          <w:rFonts w:ascii="Cambria Math" w:hAnsi="Cambria Math"/>
        </w:rPr>
      </w:pPr>
      <w:r w:rsidRPr="00FE031F">
        <w:rPr>
          <w:rFonts w:ascii="Cambria Math" w:hAnsi="Cambria Math"/>
        </w:rPr>
        <w:t xml:space="preserve">In the case of this method, the two control totals were the national detailed industry </w:t>
      </w:r>
      <w:r w:rsidR="000E5ED3">
        <w:rPr>
          <w:rFonts w:ascii="Cambria Math" w:hAnsi="Cambria Math"/>
        </w:rPr>
        <w:t>exports</w:t>
      </w:r>
      <w:r w:rsidRPr="00FE031F">
        <w:rPr>
          <w:rFonts w:ascii="Cambria Math" w:hAnsi="Cambria Math"/>
        </w:rPr>
        <w:t xml:space="preserve"> and metropolitan </w:t>
      </w:r>
      <w:r w:rsidR="000E5ED3">
        <w:rPr>
          <w:rFonts w:ascii="Cambria Math" w:hAnsi="Cambria Math"/>
        </w:rPr>
        <w:t xml:space="preserve">exports </w:t>
      </w:r>
      <w:r w:rsidRPr="00FE031F">
        <w:rPr>
          <w:rFonts w:ascii="Cambria Math" w:hAnsi="Cambria Math"/>
        </w:rPr>
        <w:t xml:space="preserve">reported at a broader industry level and the distributors were </w:t>
      </w:r>
      <w:r w:rsidR="000E5ED3">
        <w:rPr>
          <w:rFonts w:ascii="Cambria Math" w:hAnsi="Cambria Math"/>
        </w:rPr>
        <w:t xml:space="preserve">detailed industry </w:t>
      </w:r>
      <w:r w:rsidRPr="00FE031F">
        <w:rPr>
          <w:rFonts w:ascii="Cambria Math" w:hAnsi="Cambria Math"/>
        </w:rPr>
        <w:t xml:space="preserve">county GDP shares of each total. </w:t>
      </w:r>
      <w:r w:rsidR="0009179F">
        <w:rPr>
          <w:rFonts w:ascii="Cambria Math" w:hAnsi="Cambria Math"/>
        </w:rPr>
        <w:t>In this process, t</w:t>
      </w:r>
      <w:r w:rsidRPr="00FE031F">
        <w:rPr>
          <w:rFonts w:ascii="Cambria Math" w:hAnsi="Cambria Math"/>
        </w:rPr>
        <w:t xml:space="preserve">he control totals </w:t>
      </w:r>
      <w:r w:rsidR="000E5ED3">
        <w:rPr>
          <w:rFonts w:ascii="Cambria Math" w:hAnsi="Cambria Math"/>
        </w:rPr>
        <w:t xml:space="preserve">are </w:t>
      </w:r>
      <w:r w:rsidRPr="00FE031F">
        <w:rPr>
          <w:rFonts w:ascii="Cambria Math" w:hAnsi="Cambria Math"/>
        </w:rPr>
        <w:t>iteratively allocated, first to the shares of one total, and then to the shar</w:t>
      </w:r>
      <w:r w:rsidR="00F16CAC">
        <w:rPr>
          <w:rFonts w:ascii="Cambria Math" w:hAnsi="Cambria Math"/>
        </w:rPr>
        <w:t>es of the other</w:t>
      </w:r>
      <w:r w:rsidR="000E5ED3">
        <w:rPr>
          <w:rFonts w:ascii="Cambria Math" w:hAnsi="Cambria Math"/>
        </w:rPr>
        <w:t>. This process i</w:t>
      </w:r>
      <w:r w:rsidRPr="00FE031F">
        <w:rPr>
          <w:rFonts w:ascii="Cambria Math" w:hAnsi="Cambria Math"/>
        </w:rPr>
        <w:t xml:space="preserve">s repeated, recalculating shares along the way, until the </w:t>
      </w:r>
      <w:r w:rsidR="00577CF7">
        <w:rPr>
          <w:rFonts w:ascii="Cambria Math" w:hAnsi="Cambria Math"/>
        </w:rPr>
        <w:t>estimates converge</w:t>
      </w:r>
      <w:r w:rsidRPr="00FE031F">
        <w:rPr>
          <w:rFonts w:ascii="Cambria Math" w:hAnsi="Cambria Math"/>
        </w:rPr>
        <w:t xml:space="preserve"> on a set of mutually consistent solutions, thu</w:t>
      </w:r>
      <w:r w:rsidR="002C0D1C">
        <w:rPr>
          <w:rFonts w:ascii="Cambria Math" w:hAnsi="Cambria Math"/>
        </w:rPr>
        <w:t>s satisf</w:t>
      </w:r>
      <w:r w:rsidR="00F16CAC">
        <w:rPr>
          <w:rFonts w:ascii="Cambria Math" w:hAnsi="Cambria Math"/>
        </w:rPr>
        <w:t>ying the constraints</w:t>
      </w:r>
      <w:r w:rsidRPr="00FE031F">
        <w:rPr>
          <w:rFonts w:ascii="Cambria Math" w:hAnsi="Cambria Math"/>
        </w:rPr>
        <w:t>.</w:t>
      </w:r>
    </w:p>
    <w:p w:rsidR="005726E2" w:rsidRDefault="005726E2">
      <w:pPr>
        <w:rPr>
          <w:rFonts w:ascii="Cambria Math" w:hAnsi="Cambria Math"/>
        </w:rPr>
      </w:pPr>
      <w:r>
        <w:rPr>
          <w:rFonts w:ascii="Cambria Math" w:hAnsi="Cambria Math"/>
        </w:rPr>
        <w:t>The foll</w:t>
      </w:r>
      <w:r w:rsidR="000E5ED3">
        <w:rPr>
          <w:rFonts w:ascii="Cambria Math" w:hAnsi="Cambria Math"/>
        </w:rPr>
        <w:t>owing graphic demonstrates the general structure of the problem</w:t>
      </w:r>
      <w:r>
        <w:rPr>
          <w:rFonts w:ascii="Cambria Math" w:hAnsi="Cambria Math"/>
        </w:rPr>
        <w:t xml:space="preserve">. </w:t>
      </w:r>
      <w:r w:rsidR="000E5ED3">
        <w:rPr>
          <w:rFonts w:ascii="Cambria Math" w:hAnsi="Cambria Math"/>
        </w:rPr>
        <w:t>For the sake of illustration, I chose are arbitrarily small matrix</w:t>
      </w:r>
      <w:r w:rsidR="0009179F">
        <w:rPr>
          <w:rFonts w:ascii="Cambria Math" w:hAnsi="Cambria Math"/>
        </w:rPr>
        <w:t xml:space="preserve"> to summarize this set up</w:t>
      </w:r>
      <w:r w:rsidR="000E5ED3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 xml:space="preserve">Control Total A imposes a hard constraint at a more detailed industry level, whereas Control Total B imposes a hard constraint at a more detailed geographic level </w:t>
      </w:r>
      <w:r w:rsidR="0009179F">
        <w:rPr>
          <w:rFonts w:ascii="Cambria Math" w:hAnsi="Cambria Math"/>
        </w:rPr>
        <w:t>and at</w:t>
      </w:r>
      <w:r>
        <w:rPr>
          <w:rFonts w:ascii="Cambria Math" w:hAnsi="Cambria Math"/>
        </w:rPr>
        <w:t xml:space="preserve"> </w:t>
      </w:r>
      <w:r w:rsidR="0009179F">
        <w:rPr>
          <w:rFonts w:ascii="Cambria Math" w:hAnsi="Cambria Math"/>
        </w:rPr>
        <w:t>broad</w:t>
      </w:r>
      <w:r>
        <w:rPr>
          <w:rFonts w:ascii="Cambria Math" w:hAnsi="Cambria Math"/>
        </w:rPr>
        <w:t xml:space="preserve"> industry groupings</w:t>
      </w:r>
      <w:r w:rsidR="000E5ED3">
        <w:rPr>
          <w:rFonts w:ascii="Cambria Math" w:hAnsi="Cambria Math"/>
        </w:rPr>
        <w:t xml:space="preserve"> that align with the Control Total </w:t>
      </w:r>
      <w:proofErr w:type="gramStart"/>
      <w:r w:rsidR="000E5ED3">
        <w:rPr>
          <w:rFonts w:ascii="Cambria Math" w:hAnsi="Cambria Math"/>
        </w:rPr>
        <w:t>A</w:t>
      </w:r>
      <w:proofErr w:type="gramEnd"/>
      <w:r w:rsidR="000E5ED3">
        <w:rPr>
          <w:rFonts w:ascii="Cambria Math" w:hAnsi="Cambria Math"/>
        </w:rPr>
        <w:t xml:space="preserve"> detailed industries</w:t>
      </w:r>
      <w:r>
        <w:rPr>
          <w:rFonts w:ascii="Cambria Math" w:hAnsi="Cambria Math"/>
        </w:rPr>
        <w:t xml:space="preserve">. </w:t>
      </w:r>
      <w:r w:rsidR="0009179F">
        <w:rPr>
          <w:rFonts w:ascii="Cambria Math" w:hAnsi="Cambria Math"/>
        </w:rPr>
        <w:t>Once the Control Totals are in place,</w:t>
      </w:r>
      <w:r>
        <w:rPr>
          <w:rFonts w:ascii="Cambria Math" w:hAnsi="Cambria Math"/>
        </w:rPr>
        <w:t xml:space="preserve"> </w:t>
      </w:r>
      <w:r w:rsidR="000E5ED3">
        <w:rPr>
          <w:rFonts w:ascii="Cambria Math" w:hAnsi="Cambria Math"/>
        </w:rPr>
        <w:t xml:space="preserve">a </w:t>
      </w:r>
      <w:r>
        <w:rPr>
          <w:rFonts w:ascii="Cambria Math" w:hAnsi="Cambria Math"/>
        </w:rPr>
        <w:t xml:space="preserve">distributor </w:t>
      </w:r>
      <w:r w:rsidR="0009179F">
        <w:rPr>
          <w:rFonts w:ascii="Cambria Math" w:hAnsi="Cambria Math"/>
        </w:rPr>
        <w:t xml:space="preserve">is chosen </w:t>
      </w:r>
      <w:r>
        <w:rPr>
          <w:rFonts w:ascii="Cambria Math" w:hAnsi="Cambria Math"/>
        </w:rPr>
        <w:t xml:space="preserve">that correlates with what we are trying to estimate and that is available at the </w:t>
      </w:r>
      <w:r w:rsidR="0009179F">
        <w:rPr>
          <w:rFonts w:ascii="Cambria Math" w:hAnsi="Cambria Math"/>
        </w:rPr>
        <w:t xml:space="preserve">lowest common multiple of the </w:t>
      </w:r>
      <w:r>
        <w:rPr>
          <w:rFonts w:ascii="Cambria Math" w:hAnsi="Cambria Math"/>
        </w:rPr>
        <w:t>most detailed geographic and industry levels</w:t>
      </w:r>
      <w:r w:rsidR="0009179F">
        <w:rPr>
          <w:rFonts w:ascii="Cambria Math" w:hAnsi="Cambria Math"/>
        </w:rPr>
        <w:t xml:space="preserve">. </w:t>
      </w:r>
      <w:r w:rsidR="00EE28E1">
        <w:rPr>
          <w:rFonts w:ascii="Cambria Math" w:hAnsi="Cambria Math"/>
        </w:rPr>
        <w:t>Finally, we</w:t>
      </w:r>
      <w:r w:rsidR="0009179F">
        <w:rPr>
          <w:rFonts w:ascii="Cambria Math" w:hAnsi="Cambria Math"/>
        </w:rPr>
        <w:t xml:space="preserve"> </w:t>
      </w:r>
      <w:r w:rsidR="00EE28E1">
        <w:rPr>
          <w:rFonts w:ascii="Cambria Math" w:hAnsi="Cambria Math"/>
        </w:rPr>
        <w:t>use</w:t>
      </w:r>
      <w:r w:rsidR="0009179F">
        <w:rPr>
          <w:rFonts w:ascii="Cambria Math" w:hAnsi="Cambria Math"/>
        </w:rPr>
        <w:t xml:space="preserve"> the algorithm</w:t>
      </w:r>
      <w:r w:rsidR="00EE28E1">
        <w:rPr>
          <w:rFonts w:ascii="Cambria Math" w:hAnsi="Cambria Math"/>
        </w:rPr>
        <w:t xml:space="preserve">ic process to </w:t>
      </w:r>
      <w:r w:rsidR="000E5ED3">
        <w:rPr>
          <w:rFonts w:ascii="Cambria Math" w:hAnsi="Cambria Math"/>
        </w:rPr>
        <w:t>fit a</w:t>
      </w:r>
      <w:r w:rsidR="00EE28E1">
        <w:rPr>
          <w:rFonts w:ascii="Cambria Math" w:hAnsi="Cambria Math"/>
        </w:rPr>
        <w:t>n</w:t>
      </w:r>
      <w:r w:rsidR="000E5ED3">
        <w:rPr>
          <w:rFonts w:ascii="Cambria Math" w:hAnsi="Cambria Math"/>
        </w:rPr>
        <w:t xml:space="preserve"> </w:t>
      </w:r>
      <w:r w:rsidR="0009179F">
        <w:rPr>
          <w:rFonts w:ascii="Cambria Math" w:hAnsi="Cambria Math"/>
        </w:rPr>
        <w:t>estimate</w:t>
      </w:r>
      <w:r w:rsidR="000E5ED3">
        <w:rPr>
          <w:rFonts w:ascii="Cambria Math" w:hAnsi="Cambria Math"/>
        </w:rPr>
        <w:t xml:space="preserve"> within </w:t>
      </w:r>
      <w:r w:rsidR="0009179F">
        <w:rPr>
          <w:rFonts w:ascii="Cambria Math" w:hAnsi="Cambria Math"/>
        </w:rPr>
        <w:t>each</w:t>
      </w:r>
      <w:r w:rsidR="000E5ED3">
        <w:rPr>
          <w:rFonts w:ascii="Cambria Math" w:hAnsi="Cambria Math"/>
        </w:rPr>
        <w:t xml:space="preserve"> </w:t>
      </w:r>
      <w:r w:rsidR="0009179F">
        <w:rPr>
          <w:rFonts w:ascii="Cambria Math" w:hAnsi="Cambria Math"/>
        </w:rPr>
        <w:t xml:space="preserve">‘constraint </w:t>
      </w:r>
      <w:r w:rsidR="000E5ED3">
        <w:rPr>
          <w:rFonts w:ascii="Cambria Math" w:hAnsi="Cambria Math"/>
        </w:rPr>
        <w:t>box</w:t>
      </w:r>
      <w:r w:rsidR="0009179F">
        <w:rPr>
          <w:rFonts w:ascii="Cambria Math" w:hAnsi="Cambria Math"/>
        </w:rPr>
        <w:t>’</w:t>
      </w:r>
      <w:r w:rsidR="000E5ED3">
        <w:rPr>
          <w:rFonts w:ascii="Cambria Math" w:hAnsi="Cambria Math"/>
        </w:rPr>
        <w:t xml:space="preserve"> created by Control Total A and B</w:t>
      </w:r>
      <w:r w:rsidR="005A5FD7">
        <w:rPr>
          <w:rFonts w:ascii="Cambria Math" w:hAnsi="Cambria Math"/>
        </w:rPr>
        <w:t>.</w:t>
      </w:r>
    </w:p>
    <w:p w:rsidR="000E5ED3" w:rsidRDefault="000E5ED3">
      <w:pPr>
        <w:rPr>
          <w:rFonts w:ascii="Cambria Math" w:hAnsi="Cambria Math"/>
        </w:rPr>
      </w:pPr>
    </w:p>
    <w:p w:rsidR="0009179F" w:rsidRDefault="0009179F">
      <w:pPr>
        <w:rPr>
          <w:rFonts w:ascii="Cambria Math" w:hAnsi="Cambria Math"/>
        </w:rPr>
      </w:pPr>
    </w:p>
    <w:p w:rsidR="005726E2" w:rsidRPr="00231F46" w:rsidRDefault="005726E2" w:rsidP="000E5ED3">
      <w:pPr>
        <w:rPr>
          <w:rFonts w:ascii="Cambria Math" w:hAnsi="Cambria Math"/>
        </w:rPr>
      </w:pPr>
      <w:r w:rsidRPr="005726E2">
        <w:rPr>
          <w:rFonts w:ascii="Cambria Math" w:hAnsi="Cambria Math"/>
          <w:noProof/>
        </w:rPr>
        <w:drawing>
          <wp:inline distT="0" distB="0" distL="0" distR="0">
            <wp:extent cx="6510101" cy="2971800"/>
            <wp:effectExtent l="0" t="0" r="0" b="0"/>
            <wp:docPr id="3" name="Picture 3" descr="C:\Users\NMarchio\Desktop\Al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archio\Desktop\Alloc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87" cy="299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D3" w:rsidRDefault="000E5ED3">
      <w:pPr>
        <w:rPr>
          <w:rFonts w:ascii="Cambria Math" w:hAnsi="Cambria Math"/>
        </w:rPr>
      </w:pPr>
    </w:p>
    <w:p w:rsidR="000E5ED3" w:rsidRDefault="000E5ED3">
      <w:pPr>
        <w:rPr>
          <w:rFonts w:ascii="Cambria Math" w:hAnsi="Cambria Math"/>
        </w:rPr>
      </w:pPr>
    </w:p>
    <w:p w:rsidR="000E5ED3" w:rsidRDefault="000E5ED3">
      <w:pPr>
        <w:rPr>
          <w:rFonts w:ascii="Cambria Math" w:hAnsi="Cambria Math"/>
        </w:rPr>
      </w:pPr>
    </w:p>
    <w:p w:rsidR="000E5ED3" w:rsidRDefault="000E5ED3">
      <w:pPr>
        <w:rPr>
          <w:rFonts w:ascii="Cambria Math" w:hAnsi="Cambria Math"/>
        </w:rPr>
      </w:pPr>
    </w:p>
    <w:p w:rsidR="00B34E59" w:rsidRPr="005726E2" w:rsidRDefault="00231F46">
      <w:pPr>
        <w:rPr>
          <w:rFonts w:ascii="Cambria Math" w:hAnsi="Cambria Math"/>
        </w:rPr>
      </w:pPr>
      <w:r w:rsidRPr="00231F46">
        <w:rPr>
          <w:rFonts w:ascii="Cambria Math" w:hAnsi="Cambria Math"/>
        </w:rPr>
        <w:lastRenderedPageBreak/>
        <w:t>Algebraically, the algorithm may be expressed as follows:</w:t>
      </w:r>
    </w:p>
    <w:p w:rsidR="00CD0997" w:rsidRPr="00E77974" w:rsidRDefault="00653C60" w:rsidP="00CD0997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8"/>
                  <w:szCs w:val="4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8"/>
                      <w:szCs w:val="4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4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=X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control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8"/>
              <w:szCs w:val="48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  <w:sz w:val="48"/>
                  <w:szCs w:val="4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sz w:val="48"/>
                      <w:szCs w:val="4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sz w:val="48"/>
                          <w:szCs w:val="4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:rsidR="00CD0997" w:rsidRPr="00F47CF5" w:rsidRDefault="00CD0997" w:rsidP="00CD0997">
      <w:pPr>
        <w:rPr>
          <w:sz w:val="18"/>
          <w:szCs w:val="18"/>
        </w:rPr>
      </w:pPr>
    </w:p>
    <w:p w:rsidR="00CD0997" w:rsidRPr="00212D95" w:rsidRDefault="00653C60" w:rsidP="00CD0997">
      <w:p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=estimate for the component part of 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control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by county &amp; detailed industry</m:t>
        </m:r>
      </m:oMath>
      <w:r w:rsidR="00CD0997" w:rsidRPr="00212D95">
        <w:rPr>
          <w:rFonts w:ascii="Cambria Math" w:hAnsi="Cambria Math"/>
          <w:sz w:val="20"/>
          <w:szCs w:val="20"/>
        </w:rPr>
        <w:t xml:space="preserve"> </w:t>
      </w:r>
    </w:p>
    <w:p w:rsidR="00CD0997" w:rsidRPr="00212D95" w:rsidRDefault="00653C60" w:rsidP="00CD0997">
      <w:pPr>
        <w:rPr>
          <w:rFonts w:ascii="Cambria Math" w:eastAsiaTheme="minorEastAsia" w:hAnsi="Cambria Math"/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control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=given control total that can be subdivided by county &amp; industry</m:t>
          </m:r>
        </m:oMath>
      </m:oMathPara>
    </w:p>
    <w:p w:rsidR="00CD0997" w:rsidRPr="00212D95" w:rsidRDefault="00653C60" w:rsidP="00CD0997">
      <w:p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=the county &amp; detailed industry value of Z data, being used to allocate the value of 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control</m:t>
            </m:r>
          </m:sub>
        </m:sSub>
      </m:oMath>
      <w:r w:rsidR="00CD0997" w:rsidRPr="00212D95">
        <w:rPr>
          <w:rFonts w:ascii="Cambria Math" w:hAnsi="Cambria Math"/>
          <w:sz w:val="20"/>
          <w:szCs w:val="20"/>
        </w:rPr>
        <w:t xml:space="preserve"> </w:t>
      </w:r>
    </w:p>
    <w:p w:rsidR="00CD0997" w:rsidRPr="00212D95" w:rsidRDefault="00653C60" w:rsidP="00CD0997">
      <w:pPr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values aggregated according to the groups available in the Z data</m:t>
          </m:r>
        </m:oMath>
      </m:oMathPara>
    </w:p>
    <w:p w:rsidR="00CD0997" w:rsidRPr="00212D95" w:rsidRDefault="00CD0997" w:rsidP="00CD0997">
      <w:pPr>
        <w:spacing w:line="240" w:lineRule="auto"/>
        <w:contextualSpacing/>
        <w:rPr>
          <w:rFonts w:ascii="Arial" w:eastAsiaTheme="minorEastAsia" w:hAnsi="Arial" w:cs="Arial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n=number of groups (counties*industries)</m:t>
          </m:r>
        </m:oMath>
      </m:oMathPara>
    </w:p>
    <w:p w:rsidR="00CD0997" w:rsidRPr="00B45E96" w:rsidRDefault="00CD0997" w:rsidP="00CD099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D0997" w:rsidRDefault="00CD0997" w:rsidP="00CD0997">
      <w:pPr>
        <w:spacing w:line="240" w:lineRule="auto"/>
        <w:contextualSpacing/>
        <w:rPr>
          <w:rFonts w:ascii="Cambria Math" w:hAnsi="Cambria Math" w:cs="Arial"/>
          <w:sz w:val="24"/>
          <w:szCs w:val="24"/>
        </w:rPr>
      </w:pPr>
    </w:p>
    <w:p w:rsidR="00CD0997" w:rsidRPr="00200D7C" w:rsidRDefault="00231F46" w:rsidP="00CD0997">
      <w:pPr>
        <w:spacing w:line="240" w:lineRule="auto"/>
        <w:contextualSpacing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In terms of </w:t>
      </w:r>
      <w:proofErr w:type="spellStart"/>
      <w:r>
        <w:rPr>
          <w:rFonts w:ascii="Cambria Math" w:hAnsi="Cambria Math" w:cs="Arial"/>
          <w:sz w:val="24"/>
          <w:szCs w:val="24"/>
        </w:rPr>
        <w:t>pseudocode</w:t>
      </w:r>
      <w:proofErr w:type="spellEnd"/>
      <w:r>
        <w:rPr>
          <w:rFonts w:ascii="Cambria Math" w:hAnsi="Cambria Math" w:cs="Arial"/>
          <w:sz w:val="24"/>
          <w:szCs w:val="24"/>
        </w:rPr>
        <w:t>, the algorithm may be implemented as follows:</w:t>
      </w:r>
    </w:p>
    <w:p w:rsidR="00CD0997" w:rsidRPr="00200D7C" w:rsidRDefault="00CD0997" w:rsidP="00CD0997">
      <w:pPr>
        <w:spacing w:line="240" w:lineRule="auto"/>
        <w:contextualSpacing/>
        <w:rPr>
          <w:rFonts w:ascii="Cambria Math" w:hAnsi="Cambria Math" w:cs="Arial"/>
          <w:sz w:val="24"/>
          <w:szCs w:val="24"/>
        </w:rPr>
      </w:pPr>
    </w:p>
    <w:p w:rsidR="00CD0997" w:rsidRPr="007E53B5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8"/>
          <w:szCs w:val="28"/>
        </w:rPr>
      </w:pPr>
      <w:r w:rsidRPr="007E53B5">
        <w:rPr>
          <w:rFonts w:ascii="Cambria Math" w:hAnsi="Cambria Math" w:cs="Arial"/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i </m:t>
        </m:r>
      </m:oMath>
      <w:r w:rsidRPr="007E53B5">
        <w:rPr>
          <w:rFonts w:ascii="Cambria Math" w:hAnsi="Cambria Math" w:cs="Arial"/>
          <w:sz w:val="28"/>
          <w:szCs w:val="28"/>
        </w:rPr>
        <w:t>in</w:t>
      </w:r>
      <w:r w:rsidRPr="007E53B5">
        <w:rPr>
          <w:rFonts w:ascii="Cambria Math" w:hAnsi="Cambria Math" w:cs="Arial"/>
          <w:i/>
          <w:sz w:val="28"/>
          <w:szCs w:val="28"/>
        </w:rPr>
        <w:t xml:space="preserve"> </w:t>
      </w:r>
      <w:r w:rsidR="00D5017D" w:rsidRPr="00D5017D">
        <w:rPr>
          <w:rFonts w:ascii="Cambria Math" w:hAnsi="Cambria Math" w:cs="Arial"/>
          <w:b/>
          <w:i/>
          <w:sz w:val="28"/>
          <w:szCs w:val="28"/>
        </w:rPr>
        <w:t>X</w:t>
      </w:r>
      <w:r w:rsidR="00D5017D">
        <w:rPr>
          <w:rFonts w:ascii="Cambria Math" w:hAnsi="Cambria Math" w:cs="Arial"/>
          <w:i/>
          <w:sz w:val="28"/>
          <w:szCs w:val="28"/>
        </w:rPr>
        <w:t>-</w:t>
      </w:r>
      <w:r w:rsidRPr="007E53B5">
        <w:rPr>
          <w:rFonts w:ascii="Cambria Math" w:hAnsi="Cambria Math" w:cs="Arial"/>
          <w:b/>
          <w:sz w:val="28"/>
          <w:szCs w:val="28"/>
        </w:rPr>
        <w:t>Data</w:t>
      </w:r>
      <w:r w:rsidRPr="007E53B5">
        <w:rPr>
          <w:rFonts w:ascii="Cambria Math" w:hAnsi="Cambria Math" w:cs="Arial"/>
          <w:b/>
          <w:i/>
          <w:sz w:val="28"/>
          <w:szCs w:val="28"/>
        </w:rPr>
        <w:t xml:space="preserve"> </w:t>
      </w:r>
      <w:r w:rsidRPr="007E53B5">
        <w:rPr>
          <w:rFonts w:ascii="Cambria Math" w:hAnsi="Cambria Math" w:cs="Arial"/>
          <w:sz w:val="28"/>
          <w:szCs w:val="28"/>
        </w:rPr>
        <w:t xml:space="preserve">iterate until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3B5">
        <w:rPr>
          <w:rFonts w:ascii="Cambria Math" w:hAnsi="Cambria Math" w:cs="Arial"/>
          <w:sz w:val="28"/>
          <w:szCs w:val="28"/>
        </w:rPr>
        <w:t xml:space="preserve"> converge</w:t>
      </w:r>
      <w:r w:rsidR="00746006">
        <w:rPr>
          <w:rFonts w:ascii="Cambria Math" w:hAnsi="Cambria Math" w:cs="Arial"/>
          <w:sz w:val="28"/>
          <w:szCs w:val="28"/>
        </w:rPr>
        <w:t>:</w:t>
      </w:r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  <w:vertAlign w:val="subscript"/>
        </w:rPr>
      </w:pPr>
      <w:r w:rsidRPr="007E53B5">
        <w:rPr>
          <w:rFonts w:ascii="Cambria Math" w:hAnsi="Cambria Math" w:cs="Arial"/>
          <w:sz w:val="28"/>
          <w:szCs w:val="28"/>
        </w:rPr>
        <w:tab/>
      </w:r>
      <w:r w:rsidR="00D5017D">
        <w:rPr>
          <w:rFonts w:ascii="Cambria Math" w:eastAsiaTheme="minorEastAsia" w:hAnsi="Cambria Math" w:cs="Arial"/>
          <w:i/>
          <w:sz w:val="24"/>
          <w:szCs w:val="24"/>
        </w:rPr>
        <w:t>Sum-</w:t>
      </w:r>
      <w:r w:rsidRPr="00D5017D">
        <w:rPr>
          <w:rFonts w:ascii="Cambria Math" w:eastAsiaTheme="minorEastAsia" w:hAnsi="Cambria Math" w:cs="Arial"/>
          <w:i/>
          <w:sz w:val="24"/>
          <w:szCs w:val="24"/>
        </w:rPr>
        <w:t>A</w:t>
      </w:r>
      <w:r w:rsidRPr="00A8051C">
        <w:rPr>
          <w:rFonts w:ascii="Cambria Math" w:eastAsiaTheme="minorEastAsia" w:hAnsi="Cambria Math" w:cs="Arial"/>
          <w:sz w:val="24"/>
          <w:szCs w:val="24"/>
        </w:rPr>
        <w:t xml:space="preserve"> =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nA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A8051C">
        <w:rPr>
          <w:rFonts w:ascii="Cambria Math" w:hAnsi="Cambria Math" w:cs="Arial"/>
          <w:sz w:val="24"/>
          <w:szCs w:val="24"/>
        </w:rPr>
        <w:t xml:space="preserve"> = Aggregate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>by</w:t>
      </w:r>
      <w:r>
        <w:rPr>
          <w:rFonts w:ascii="Cambria Math" w:hAnsi="Cambria Math" w:cs="Arial"/>
          <w:sz w:val="24"/>
          <w:szCs w:val="24"/>
        </w:rPr>
        <w:t xml:space="preserve"> j</w:t>
      </w:r>
      <w:r w:rsidRPr="00A8051C">
        <w:rPr>
          <w:rFonts w:ascii="Cambria Math" w:hAnsi="Cambria Math" w:cs="Arial"/>
          <w:sz w:val="24"/>
          <w:szCs w:val="24"/>
        </w:rPr>
        <w:t xml:space="preserve"> groupings in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control</m:t>
            </m:r>
          </m:sub>
        </m:sSub>
      </m:oMath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w:r w:rsidR="00D5017D">
        <w:rPr>
          <w:rFonts w:ascii="Cambria Math" w:hAnsi="Cambria Math" w:cs="Arial"/>
          <w:i/>
          <w:sz w:val="24"/>
          <w:szCs w:val="24"/>
        </w:rPr>
        <w:t>Share-</w:t>
      </w:r>
      <w:r w:rsidRPr="00D5017D">
        <w:rPr>
          <w:rFonts w:ascii="Cambria Math" w:hAnsi="Cambria Math" w:cs="Arial"/>
          <w:i/>
          <w:sz w:val="24"/>
          <w:szCs w:val="24"/>
        </w:rPr>
        <w:t>A</w:t>
      </w:r>
      <w:r w:rsidRPr="00A8051C">
        <w:rPr>
          <w:rFonts w:ascii="Cambria Math" w:hAnsi="Cambria Math" w:cs="Arial"/>
          <w:sz w:val="24"/>
          <w:szCs w:val="24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Pr="00A8051C">
        <w:rPr>
          <w:rFonts w:ascii="Cambria Math" w:hAnsi="Cambria Math" w:cs="Arial"/>
          <w:sz w:val="24"/>
          <w:szCs w:val="24"/>
        </w:rPr>
        <w:t xml:space="preserve"> = Calculate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 xml:space="preserve">share of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 xml:space="preserve">= Allocate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control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 xml:space="preserve">to </w:t>
      </w:r>
      <w:r w:rsidR="00D5017D">
        <w:rPr>
          <w:rFonts w:ascii="Cambria Math" w:hAnsi="Cambria Math" w:cs="Arial"/>
          <w:i/>
          <w:sz w:val="24"/>
          <w:szCs w:val="24"/>
        </w:rPr>
        <w:t>Share-</w:t>
      </w:r>
      <w:r w:rsidRPr="00D5017D">
        <w:rPr>
          <w:rFonts w:ascii="Cambria Math" w:hAnsi="Cambria Math" w:cs="Arial"/>
          <w:i/>
          <w:sz w:val="24"/>
          <w:szCs w:val="24"/>
        </w:rPr>
        <w:t>A</w:t>
      </w:r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eastAsiaTheme="minorEastAsia" w:hAnsi="Cambria Math" w:cs="Arial"/>
          <w:b/>
          <w:sz w:val="24"/>
          <w:szCs w:val="24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8051C">
        <w:rPr>
          <w:rFonts w:ascii="Cambria Math" w:eastAsiaTheme="minorEastAsia" w:hAnsi="Cambria Math" w:cs="Arial"/>
          <w:b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  <w:vertAlign w:val="subscript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w:r w:rsidR="00D5017D">
        <w:rPr>
          <w:rFonts w:ascii="Cambria Math" w:eastAsiaTheme="minorEastAsia" w:hAnsi="Cambria Math" w:cs="Arial"/>
          <w:i/>
          <w:sz w:val="24"/>
          <w:szCs w:val="24"/>
        </w:rPr>
        <w:t>Sum-</w:t>
      </w:r>
      <w:r w:rsidRPr="00D5017D">
        <w:rPr>
          <w:rFonts w:ascii="Cambria Math" w:eastAsiaTheme="minorEastAsia" w:hAnsi="Cambria Math" w:cs="Arial"/>
          <w:i/>
          <w:sz w:val="24"/>
          <w:szCs w:val="24"/>
        </w:rPr>
        <w:t>B</w:t>
      </w:r>
      <w:r w:rsidRPr="00A8051C">
        <w:rPr>
          <w:rFonts w:ascii="Cambria Math" w:eastAsiaTheme="minorEastAsia" w:hAnsi="Cambria Math" w:cs="Arial"/>
          <w:sz w:val="24"/>
          <w:szCs w:val="24"/>
        </w:rPr>
        <w:t xml:space="preserve"> =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nA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A8051C">
        <w:rPr>
          <w:rFonts w:ascii="Cambria Math" w:hAnsi="Cambria Math" w:cs="Arial"/>
          <w:sz w:val="24"/>
          <w:szCs w:val="24"/>
        </w:rPr>
        <w:t xml:space="preserve"> = Aggregate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>by</w:t>
      </w:r>
      <w:r>
        <w:rPr>
          <w:rFonts w:ascii="Cambria Math" w:hAnsi="Cambria Math" w:cs="Arial"/>
          <w:sz w:val="24"/>
          <w:szCs w:val="24"/>
        </w:rPr>
        <w:t xml:space="preserve"> j</w:t>
      </w:r>
      <w:r w:rsidRPr="00A8051C">
        <w:rPr>
          <w:rFonts w:ascii="Cambria Math" w:hAnsi="Cambria Math" w:cs="Arial"/>
          <w:sz w:val="24"/>
          <w:szCs w:val="24"/>
        </w:rPr>
        <w:t xml:space="preserve"> groupings in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control</m:t>
            </m:r>
          </m:sub>
        </m:sSub>
      </m:oMath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w:r w:rsidR="00D5017D">
        <w:rPr>
          <w:rFonts w:ascii="Cambria Math" w:hAnsi="Cambria Math" w:cs="Arial"/>
          <w:i/>
          <w:sz w:val="24"/>
          <w:szCs w:val="24"/>
        </w:rPr>
        <w:t>Share-</w:t>
      </w:r>
      <w:r w:rsidRPr="00D5017D">
        <w:rPr>
          <w:rFonts w:ascii="Cambria Math" w:hAnsi="Cambria Math" w:cs="Arial"/>
          <w:i/>
          <w:sz w:val="24"/>
          <w:szCs w:val="24"/>
        </w:rPr>
        <w:t>B</w:t>
      </w:r>
      <w:r w:rsidRPr="00A8051C">
        <w:rPr>
          <w:rFonts w:ascii="Cambria Math" w:hAnsi="Cambria Math" w:cs="Arial"/>
          <w:sz w:val="24"/>
          <w:szCs w:val="24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 w:rsidRPr="00A8051C">
        <w:rPr>
          <w:rFonts w:ascii="Cambria Math" w:hAnsi="Cambria Math" w:cs="Arial"/>
          <w:sz w:val="24"/>
          <w:szCs w:val="24"/>
        </w:rPr>
        <w:t xml:space="preserve"> = Calculate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 xml:space="preserve">share of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</w:p>
    <w:p w:rsidR="00CD0997" w:rsidRPr="00A8051C" w:rsidRDefault="00CD0997" w:rsidP="00CD0997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 xml:space="preserve">= Allocate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control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8051C">
        <w:rPr>
          <w:rFonts w:ascii="Cambria Math" w:hAnsi="Cambria Math" w:cs="Arial"/>
          <w:sz w:val="24"/>
          <w:szCs w:val="24"/>
        </w:rPr>
        <w:t xml:space="preserve">to </w:t>
      </w:r>
      <w:r w:rsidR="00D5017D">
        <w:rPr>
          <w:rFonts w:ascii="Cambria Math" w:hAnsi="Cambria Math" w:cs="Arial"/>
          <w:i/>
          <w:sz w:val="24"/>
          <w:szCs w:val="24"/>
        </w:rPr>
        <w:t>Share-</w:t>
      </w:r>
      <w:r w:rsidRPr="00D5017D">
        <w:rPr>
          <w:rFonts w:ascii="Cambria Math" w:hAnsi="Cambria Math" w:cs="Arial"/>
          <w:i/>
          <w:sz w:val="24"/>
          <w:szCs w:val="24"/>
        </w:rPr>
        <w:t>B</w:t>
      </w:r>
    </w:p>
    <w:p w:rsidR="00CD0997" w:rsidRDefault="00CD0997" w:rsidP="008941B4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  <w:r w:rsidRPr="00A8051C">
        <w:rPr>
          <w:rFonts w:ascii="Cambria Math" w:hAnsi="Cambria Math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8051C">
        <w:rPr>
          <w:rFonts w:ascii="Cambria Math" w:eastAsiaTheme="minorEastAsia" w:hAnsi="Cambria Math" w:cs="Arial"/>
          <w:b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:rsidR="008941B4" w:rsidRPr="008941B4" w:rsidRDefault="008941B4" w:rsidP="008941B4">
      <w:pPr>
        <w:spacing w:line="240" w:lineRule="auto"/>
        <w:ind w:left="720"/>
        <w:contextualSpacing/>
        <w:rPr>
          <w:rFonts w:ascii="Cambria Math" w:hAnsi="Cambria Math" w:cs="Arial"/>
          <w:sz w:val="24"/>
          <w:szCs w:val="24"/>
        </w:rPr>
      </w:pPr>
    </w:p>
    <w:p w:rsidR="008941B4" w:rsidRDefault="00CD0997">
      <w:pPr>
        <w:rPr>
          <w:rFonts w:ascii="Cambria Math" w:hAnsi="Cambria Math"/>
        </w:rPr>
      </w:pPr>
      <w:r w:rsidRPr="00212D95">
        <w:rPr>
          <w:rFonts w:ascii="Cambria Math" w:hAnsi="Cambria Math"/>
        </w:rPr>
        <w:t>It’s also possible to i</w:t>
      </w:r>
      <w:r w:rsidR="00CE59A4" w:rsidRPr="00212D95">
        <w:rPr>
          <w:rFonts w:ascii="Cambria Math" w:hAnsi="Cambria Math"/>
        </w:rPr>
        <w:t>mplement</w:t>
      </w:r>
      <w:r w:rsidRPr="00212D95">
        <w:rPr>
          <w:rFonts w:ascii="Cambria Math" w:hAnsi="Cambria Math"/>
        </w:rPr>
        <w:t xml:space="preserve"> the method using the </w:t>
      </w:r>
      <w:r w:rsidR="00CE59A4" w:rsidRPr="00212D95">
        <w:rPr>
          <w:rFonts w:ascii="Cambria Math" w:hAnsi="Cambria Math"/>
        </w:rPr>
        <w:t>Python Constraint module</w:t>
      </w:r>
      <w:r w:rsidR="00212D95">
        <w:rPr>
          <w:rFonts w:ascii="Cambria Math" w:hAnsi="Cambria Math"/>
        </w:rPr>
        <w:t>.</w:t>
      </w:r>
    </w:p>
    <w:p w:rsidR="00EE4765" w:rsidRDefault="00EE4765">
      <w:pPr>
        <w:rPr>
          <w:rFonts w:ascii="Cambria Math" w:hAnsi="Cambria Math"/>
        </w:rPr>
      </w:pPr>
    </w:p>
    <w:p w:rsidR="00FA30BC" w:rsidRPr="008941B4" w:rsidRDefault="00FA30BC">
      <w:pPr>
        <w:rPr>
          <w:rFonts w:ascii="Cambria Math" w:hAnsi="Cambria Math"/>
        </w:rPr>
      </w:pPr>
      <w:r w:rsidRPr="00212D95">
        <w:rPr>
          <w:rFonts w:ascii="Cambria Math" w:hAnsi="Cambria Math"/>
          <w:b/>
        </w:rPr>
        <w:t>Applications</w:t>
      </w:r>
    </w:p>
    <w:p w:rsidR="00FA30BC" w:rsidRPr="00212D95" w:rsidRDefault="00FA30BC">
      <w:pPr>
        <w:rPr>
          <w:rFonts w:ascii="Cambria Math" w:hAnsi="Cambria Math"/>
        </w:rPr>
      </w:pPr>
      <w:r w:rsidRPr="00212D95">
        <w:rPr>
          <w:rFonts w:ascii="Cambria Math" w:hAnsi="Cambria Math"/>
        </w:rPr>
        <w:t xml:space="preserve">The main takeaway is that this technique is a handy way to derive more detailed estimates from aggregate data as long as you have other measures that you </w:t>
      </w:r>
      <w:r w:rsidR="00212D95">
        <w:rPr>
          <w:rFonts w:ascii="Cambria Math" w:hAnsi="Cambria Math"/>
        </w:rPr>
        <w:t>think</w:t>
      </w:r>
      <w:r w:rsidRPr="00212D95">
        <w:rPr>
          <w:rFonts w:ascii="Cambria Math" w:hAnsi="Cambria Math"/>
        </w:rPr>
        <w:t xml:space="preserve"> correlate w</w:t>
      </w:r>
      <w:r w:rsidR="00212D95">
        <w:rPr>
          <w:rFonts w:ascii="Cambria Math" w:hAnsi="Cambria Math"/>
        </w:rPr>
        <w:t>ith the data you’re trying to estimate.</w:t>
      </w:r>
      <w:r w:rsidR="00EE4765">
        <w:rPr>
          <w:rFonts w:ascii="Cambria Math" w:hAnsi="Cambria Math"/>
        </w:rPr>
        <w:t xml:space="preserve"> It is attractive because it easily allows you to fit your data within the framework of other more reliable control data sets.</w:t>
      </w:r>
    </w:p>
    <w:p w:rsidR="00F609E0" w:rsidRPr="000E5ED3" w:rsidRDefault="00212D95">
      <w:pPr>
        <w:rPr>
          <w:rFonts w:ascii="Cambria Math" w:hAnsi="Cambria Math"/>
        </w:rPr>
      </w:pPr>
      <w:r>
        <w:rPr>
          <w:rFonts w:ascii="Cambria Math" w:hAnsi="Cambria Math"/>
        </w:rPr>
        <w:t>Believe it or not, t</w:t>
      </w:r>
      <w:r w:rsidR="004F238B" w:rsidRPr="00212D95">
        <w:rPr>
          <w:rFonts w:ascii="Cambria Math" w:hAnsi="Cambria Math"/>
        </w:rPr>
        <w:t xml:space="preserve">his </w:t>
      </w:r>
      <w:r>
        <w:rPr>
          <w:rFonts w:ascii="Cambria Math" w:hAnsi="Cambria Math"/>
        </w:rPr>
        <w:t>algorithm</w:t>
      </w:r>
      <w:r w:rsidR="00F41B66">
        <w:rPr>
          <w:rFonts w:ascii="Cambria Math" w:hAnsi="Cambria Math"/>
        </w:rPr>
        <w:t xml:space="preserve"> is</w:t>
      </w:r>
      <w:r>
        <w:rPr>
          <w:rFonts w:ascii="Cambria Math" w:hAnsi="Cambria Math"/>
        </w:rPr>
        <w:t xml:space="preserve"> used by</w:t>
      </w:r>
      <w:r w:rsidR="004F238B" w:rsidRPr="00212D95">
        <w:rPr>
          <w:rFonts w:ascii="Cambria Math" w:hAnsi="Cambria Math"/>
        </w:rPr>
        <w:t xml:space="preserve"> a wide array of data</w:t>
      </w:r>
      <w:r>
        <w:rPr>
          <w:rFonts w:ascii="Cambria Math" w:hAnsi="Cambria Math"/>
        </w:rPr>
        <w:t xml:space="preserve"> organizations. BEA uses it to estimate s</w:t>
      </w:r>
      <w:r w:rsidR="004F238B" w:rsidRPr="00212D95">
        <w:rPr>
          <w:rFonts w:ascii="Cambria Math" w:hAnsi="Cambria Math"/>
        </w:rPr>
        <w:t>tate level estimates of GDP using compens</w:t>
      </w:r>
      <w:r>
        <w:rPr>
          <w:rFonts w:ascii="Cambria Math" w:hAnsi="Cambria Math"/>
        </w:rPr>
        <w:t xml:space="preserve">ation data obtained from the IRS. Moody’s </w:t>
      </w:r>
      <w:r w:rsidR="00F23BCF">
        <w:rPr>
          <w:rFonts w:ascii="Cambria Math" w:hAnsi="Cambria Math"/>
        </w:rPr>
        <w:t xml:space="preserve">Analytics </w:t>
      </w:r>
      <w:r>
        <w:rPr>
          <w:rFonts w:ascii="Cambria Math" w:hAnsi="Cambria Math"/>
        </w:rPr>
        <w:t>also uses the technique to allocate</w:t>
      </w:r>
      <w:r w:rsidR="004F238B" w:rsidRPr="00212D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state level GDP to the c</w:t>
      </w:r>
      <w:r w:rsidR="004F238B" w:rsidRPr="00212D95">
        <w:rPr>
          <w:rFonts w:ascii="Cambria Math" w:hAnsi="Cambria Math"/>
        </w:rPr>
        <w:t>ounty leve</w:t>
      </w:r>
      <w:r>
        <w:rPr>
          <w:rFonts w:ascii="Cambria Math" w:hAnsi="Cambria Math"/>
        </w:rPr>
        <w:t xml:space="preserve">l using the QCEW </w:t>
      </w:r>
      <w:r w:rsidR="0068070B">
        <w:rPr>
          <w:rFonts w:ascii="Cambria Math" w:hAnsi="Cambria Math"/>
        </w:rPr>
        <w:t xml:space="preserve">compensation </w:t>
      </w:r>
      <w:r>
        <w:rPr>
          <w:rFonts w:ascii="Cambria Math" w:hAnsi="Cambria Math"/>
        </w:rPr>
        <w:t>data from the BLS.</w:t>
      </w:r>
    </w:p>
    <w:p w:rsidR="00042754" w:rsidRDefault="00E77974" w:rsidP="00F609E0">
      <w:pPr>
        <w:rPr>
          <w:rFonts w:ascii="Cambria Math" w:hAnsi="Cambria Math"/>
          <w:b/>
        </w:rPr>
      </w:pPr>
      <w:r w:rsidRPr="00212D95">
        <w:rPr>
          <w:rFonts w:ascii="Cambria Math" w:hAnsi="Cambria Math"/>
          <w:b/>
        </w:rPr>
        <w:t>Results</w:t>
      </w:r>
      <w:r w:rsidR="00F41B66">
        <w:rPr>
          <w:rFonts w:ascii="Cambria Math" w:hAnsi="Cambria Math"/>
          <w:b/>
        </w:rPr>
        <w:t xml:space="preserve"> Discussion</w:t>
      </w:r>
      <w:r w:rsidR="007D368A">
        <w:rPr>
          <w:rFonts w:ascii="Cambria Math" w:hAnsi="Cambria Math"/>
          <w:b/>
        </w:rPr>
        <w:t>:</w:t>
      </w:r>
    </w:p>
    <w:p w:rsidR="00042754" w:rsidRDefault="00042754" w:rsidP="00F609E0">
      <w:pPr>
        <w:rPr>
          <w:rFonts w:ascii="Cambria Math" w:hAnsi="Cambria Math"/>
        </w:rPr>
      </w:pPr>
      <w:r>
        <w:rPr>
          <w:rFonts w:ascii="Cambria Math" w:hAnsi="Cambria Math"/>
        </w:rPr>
        <w:t>There were a number of new findings</w:t>
      </w:r>
      <w:r w:rsidR="00F23BCF">
        <w:rPr>
          <w:rFonts w:ascii="Cambria Math" w:hAnsi="Cambria Math"/>
        </w:rPr>
        <w:t xml:space="preserve"> that resulted from adding the additional constraints:</w:t>
      </w:r>
    </w:p>
    <w:p w:rsidR="00F609E0" w:rsidRPr="00042754" w:rsidRDefault="00F609E0" w:rsidP="00042754">
      <w:pPr>
        <w:ind w:left="720"/>
        <w:rPr>
          <w:rFonts w:ascii="Cambria Math" w:hAnsi="Cambria Math"/>
        </w:rPr>
      </w:pPr>
      <w:r w:rsidRPr="0068070B">
        <w:rPr>
          <w:rFonts w:ascii="Cambria Math" w:hAnsi="Cambria Math"/>
        </w:rPr>
        <w:br/>
        <w:t xml:space="preserve">-Oil </w:t>
      </w:r>
      <w:r w:rsidR="00042754">
        <w:rPr>
          <w:rFonts w:ascii="Cambria Math" w:hAnsi="Cambria Math"/>
        </w:rPr>
        <w:t xml:space="preserve">exports </w:t>
      </w:r>
      <w:r w:rsidRPr="0068070B">
        <w:rPr>
          <w:rFonts w:ascii="Cambria Math" w:hAnsi="Cambria Math"/>
        </w:rPr>
        <w:t>migrated south</w:t>
      </w:r>
      <w:r w:rsidR="00F41B66">
        <w:rPr>
          <w:rFonts w:ascii="Cambria Math" w:hAnsi="Cambria Math"/>
        </w:rPr>
        <w:t xml:space="preserve">: </w:t>
      </w:r>
      <w:r w:rsidRPr="0068070B">
        <w:rPr>
          <w:rFonts w:ascii="Cambria Math" w:hAnsi="Cambria Math"/>
        </w:rPr>
        <w:t xml:space="preserve">massive oil refineries in San Francisco and </w:t>
      </w:r>
      <w:r w:rsidR="00F23BCF">
        <w:rPr>
          <w:rFonts w:ascii="Cambria Math" w:hAnsi="Cambria Math"/>
        </w:rPr>
        <w:t>Minneapolis that supplied gas to their local market were downgraded as exporters</w:t>
      </w:r>
      <w:r w:rsidR="00F41B66">
        <w:rPr>
          <w:rFonts w:ascii="Cambria Math" w:hAnsi="Cambria Math"/>
        </w:rPr>
        <w:t xml:space="preserve"> after we added the constraint from the EIA’s petroleum export regions.</w:t>
      </w:r>
    </w:p>
    <w:p w:rsidR="00F609E0" w:rsidRPr="0068070B" w:rsidRDefault="00F609E0" w:rsidP="00042754">
      <w:pPr>
        <w:ind w:left="720"/>
        <w:rPr>
          <w:rFonts w:ascii="Cambria Math" w:hAnsi="Cambria Math"/>
        </w:rPr>
      </w:pPr>
      <w:r w:rsidRPr="0068070B">
        <w:rPr>
          <w:rFonts w:ascii="Cambria Math" w:hAnsi="Cambria Math"/>
        </w:rPr>
        <w:t>-NYC and Miami became tourism juggernauts</w:t>
      </w:r>
      <w:r w:rsidR="00A7695E">
        <w:rPr>
          <w:rFonts w:ascii="Cambria Math" w:hAnsi="Cambria Math"/>
        </w:rPr>
        <w:t xml:space="preserve"> after adjusting for international flights</w:t>
      </w:r>
      <w:r w:rsidR="00F41B66">
        <w:rPr>
          <w:rFonts w:ascii="Cambria Math" w:hAnsi="Cambria Math"/>
        </w:rPr>
        <w:t xml:space="preserve">: my estimate roughly tied out with NYC’s own estimate of international tourism spending </w:t>
      </w:r>
      <w:r w:rsidR="00042754">
        <w:rPr>
          <w:rFonts w:ascii="Cambria Math" w:hAnsi="Cambria Math"/>
        </w:rPr>
        <w:t>which exceeds</w:t>
      </w:r>
      <w:r w:rsidRPr="0068070B">
        <w:rPr>
          <w:rFonts w:ascii="Cambria Math" w:hAnsi="Cambria Math"/>
        </w:rPr>
        <w:t xml:space="preserve"> </w:t>
      </w:r>
      <w:r w:rsidR="00F41B66">
        <w:rPr>
          <w:rFonts w:ascii="Cambria Math" w:hAnsi="Cambria Math"/>
        </w:rPr>
        <w:t>$</w:t>
      </w:r>
      <w:r w:rsidRPr="0068070B">
        <w:rPr>
          <w:rFonts w:ascii="Cambria Math" w:hAnsi="Cambria Math"/>
        </w:rPr>
        <w:t>30 billion</w:t>
      </w:r>
      <w:r w:rsidR="00042754">
        <w:rPr>
          <w:rFonts w:ascii="Cambria Math" w:hAnsi="Cambria Math"/>
        </w:rPr>
        <w:t xml:space="preserve"> annually</w:t>
      </w:r>
      <w:r w:rsidR="00F41B66">
        <w:rPr>
          <w:rFonts w:ascii="Cambria Math" w:hAnsi="Cambria Math"/>
        </w:rPr>
        <w:t>.</w:t>
      </w:r>
    </w:p>
    <w:p w:rsidR="00042754" w:rsidRDefault="00F609E0" w:rsidP="008941B4">
      <w:pPr>
        <w:ind w:left="720"/>
        <w:rPr>
          <w:rFonts w:ascii="Cambria Math" w:hAnsi="Cambria Math"/>
        </w:rPr>
      </w:pPr>
      <w:r w:rsidRPr="0068070B">
        <w:rPr>
          <w:rFonts w:ascii="Cambria Math" w:hAnsi="Cambria Math"/>
        </w:rPr>
        <w:t>-Portland lost exports to San Jose</w:t>
      </w:r>
      <w:r w:rsidR="00A7695E">
        <w:rPr>
          <w:rFonts w:ascii="Cambria Math" w:hAnsi="Cambria Math"/>
        </w:rPr>
        <w:t xml:space="preserve"> after adjusting using the goods trade flows data</w:t>
      </w:r>
      <w:r w:rsidR="00F41B66">
        <w:rPr>
          <w:rFonts w:ascii="Cambria Math" w:hAnsi="Cambria Math"/>
        </w:rPr>
        <w:t xml:space="preserve">: I found that while Portland </w:t>
      </w:r>
      <w:r w:rsidR="00042754">
        <w:rPr>
          <w:rFonts w:ascii="Cambria Math" w:hAnsi="Cambria Math"/>
        </w:rPr>
        <w:t xml:space="preserve">is an important player in </w:t>
      </w:r>
      <w:r w:rsidR="00F41B66">
        <w:rPr>
          <w:rFonts w:ascii="Cambria Math" w:hAnsi="Cambria Math"/>
        </w:rPr>
        <w:t>export supply chains, it</w:t>
      </w:r>
      <w:r w:rsidRPr="0068070B">
        <w:rPr>
          <w:rFonts w:ascii="Cambria Math" w:hAnsi="Cambria Math"/>
        </w:rPr>
        <w:t xml:space="preserve"> isn’t exporting to the de</w:t>
      </w:r>
      <w:r w:rsidR="00F41B66">
        <w:rPr>
          <w:rFonts w:ascii="Cambria Math" w:hAnsi="Cambria Math"/>
        </w:rPr>
        <w:t>gree that we originally thought since Intel</w:t>
      </w:r>
      <w:r w:rsidR="00621DEF">
        <w:rPr>
          <w:rFonts w:ascii="Cambria Math" w:hAnsi="Cambria Math"/>
        </w:rPr>
        <w:t xml:space="preserve"> which locates production in Portland</w:t>
      </w:r>
      <w:r w:rsidR="00F41B66">
        <w:rPr>
          <w:rFonts w:ascii="Cambria Math" w:hAnsi="Cambria Math"/>
        </w:rPr>
        <w:t xml:space="preserve"> supplies most of its semiconductors to San Jose which is the last stop in the production process before the products are sold abroad</w:t>
      </w:r>
      <w:r w:rsidRPr="0068070B">
        <w:rPr>
          <w:rFonts w:ascii="Cambria Math" w:hAnsi="Cambria Math"/>
        </w:rPr>
        <w:t>)</w:t>
      </w:r>
      <w:r w:rsidR="00F41B66">
        <w:rPr>
          <w:rFonts w:ascii="Cambria Math" w:hAnsi="Cambria Math"/>
        </w:rPr>
        <w:t>.</w:t>
      </w: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Default="008941B4" w:rsidP="00A7695E">
      <w:pPr>
        <w:rPr>
          <w:rFonts w:ascii="Cambria Math" w:hAnsi="Cambria Math"/>
        </w:rPr>
      </w:pPr>
    </w:p>
    <w:p w:rsidR="00A7695E" w:rsidRDefault="00A7695E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0E5ED3" w:rsidRDefault="000E5ED3" w:rsidP="00A7695E">
      <w:pPr>
        <w:rPr>
          <w:rFonts w:ascii="Cambria Math" w:hAnsi="Cambria Math"/>
        </w:rPr>
      </w:pPr>
    </w:p>
    <w:p w:rsidR="008941B4" w:rsidRDefault="008941B4" w:rsidP="008941B4">
      <w:pPr>
        <w:ind w:left="720"/>
        <w:rPr>
          <w:rFonts w:ascii="Cambria Math" w:hAnsi="Cambria Math"/>
        </w:rPr>
      </w:pPr>
    </w:p>
    <w:p w:rsidR="008941B4" w:rsidRPr="008941B4" w:rsidRDefault="008941B4" w:rsidP="008941B4">
      <w:pPr>
        <w:ind w:left="720"/>
        <w:rPr>
          <w:rFonts w:ascii="Cambria Math" w:hAnsi="Cambria Math"/>
        </w:rPr>
      </w:pPr>
    </w:p>
    <w:p w:rsidR="007D368A" w:rsidRDefault="007D368A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Real Exports, 2013 (color scale: dark more exports, light less exports)</w:t>
      </w:r>
    </w:p>
    <w:p w:rsidR="007D368A" w:rsidRDefault="007D368A" w:rsidP="007D368A">
      <w:pPr>
        <w:jc w:val="center"/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2D02B6EF" wp14:editId="544A4D8D">
            <wp:extent cx="52863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8A" w:rsidRDefault="007D368A" w:rsidP="007D368A">
      <w:pPr>
        <w:rPr>
          <w:rFonts w:ascii="Cambria Math" w:hAnsi="Cambria Math"/>
          <w:b/>
        </w:rPr>
      </w:pPr>
    </w:p>
    <w:p w:rsidR="007D368A" w:rsidRDefault="007D368A" w:rsidP="007D368A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Export Share of GDP, 2013 (color scale: dark more intensive, light less intensive)</w:t>
      </w:r>
    </w:p>
    <w:p w:rsidR="007D368A" w:rsidRDefault="007D368A" w:rsidP="007D368A">
      <w:pPr>
        <w:rPr>
          <w:rFonts w:ascii="Cambria Math" w:hAnsi="Cambria Math"/>
          <w:b/>
        </w:rPr>
      </w:pPr>
    </w:p>
    <w:p w:rsidR="00CE59A4" w:rsidRPr="00042754" w:rsidRDefault="007D368A" w:rsidP="00042754">
      <w:pPr>
        <w:jc w:val="center"/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1CCE7488" wp14:editId="37593F8D">
            <wp:extent cx="52863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A4" w:rsidRPr="0004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7"/>
    <w:rsid w:val="00042754"/>
    <w:rsid w:val="00054C56"/>
    <w:rsid w:val="00077E31"/>
    <w:rsid w:val="0009179F"/>
    <w:rsid w:val="00097FD3"/>
    <w:rsid w:val="000E5ED3"/>
    <w:rsid w:val="000F7A97"/>
    <w:rsid w:val="00121491"/>
    <w:rsid w:val="001F326C"/>
    <w:rsid w:val="00200D7C"/>
    <w:rsid w:val="00212D95"/>
    <w:rsid w:val="00231F46"/>
    <w:rsid w:val="002536CE"/>
    <w:rsid w:val="002C0D1C"/>
    <w:rsid w:val="00351D85"/>
    <w:rsid w:val="00354E25"/>
    <w:rsid w:val="00442D62"/>
    <w:rsid w:val="004D371C"/>
    <w:rsid w:val="004F238B"/>
    <w:rsid w:val="005145DB"/>
    <w:rsid w:val="00517C79"/>
    <w:rsid w:val="005418FC"/>
    <w:rsid w:val="00556873"/>
    <w:rsid w:val="005602F4"/>
    <w:rsid w:val="005726E2"/>
    <w:rsid w:val="00577CF7"/>
    <w:rsid w:val="005A5FD7"/>
    <w:rsid w:val="005C2248"/>
    <w:rsid w:val="005E0E21"/>
    <w:rsid w:val="005F1823"/>
    <w:rsid w:val="005F38A0"/>
    <w:rsid w:val="00616633"/>
    <w:rsid w:val="00621DEF"/>
    <w:rsid w:val="00653C60"/>
    <w:rsid w:val="0067430B"/>
    <w:rsid w:val="0068070B"/>
    <w:rsid w:val="006F7160"/>
    <w:rsid w:val="007207EE"/>
    <w:rsid w:val="00730D4D"/>
    <w:rsid w:val="00746006"/>
    <w:rsid w:val="007719BA"/>
    <w:rsid w:val="0078496C"/>
    <w:rsid w:val="00787C84"/>
    <w:rsid w:val="007A7171"/>
    <w:rsid w:val="007D368A"/>
    <w:rsid w:val="007E1206"/>
    <w:rsid w:val="007E53B5"/>
    <w:rsid w:val="00802290"/>
    <w:rsid w:val="00830522"/>
    <w:rsid w:val="008941B4"/>
    <w:rsid w:val="00894F80"/>
    <w:rsid w:val="008B6222"/>
    <w:rsid w:val="008C281C"/>
    <w:rsid w:val="008C47D3"/>
    <w:rsid w:val="008D7CB5"/>
    <w:rsid w:val="008F69E2"/>
    <w:rsid w:val="00915947"/>
    <w:rsid w:val="009231BC"/>
    <w:rsid w:val="00925E55"/>
    <w:rsid w:val="0093782B"/>
    <w:rsid w:val="009836C7"/>
    <w:rsid w:val="009B3441"/>
    <w:rsid w:val="009B6447"/>
    <w:rsid w:val="009C5DC3"/>
    <w:rsid w:val="009D005E"/>
    <w:rsid w:val="009F409E"/>
    <w:rsid w:val="00A1439F"/>
    <w:rsid w:val="00A419CE"/>
    <w:rsid w:val="00A44CA8"/>
    <w:rsid w:val="00A7695E"/>
    <w:rsid w:val="00A8051C"/>
    <w:rsid w:val="00A81787"/>
    <w:rsid w:val="00AF336F"/>
    <w:rsid w:val="00B34E59"/>
    <w:rsid w:val="00B45E96"/>
    <w:rsid w:val="00B83E0B"/>
    <w:rsid w:val="00BD6AE3"/>
    <w:rsid w:val="00BF265A"/>
    <w:rsid w:val="00C073D8"/>
    <w:rsid w:val="00C423AA"/>
    <w:rsid w:val="00C50BE6"/>
    <w:rsid w:val="00C622B4"/>
    <w:rsid w:val="00C90D5A"/>
    <w:rsid w:val="00C9368A"/>
    <w:rsid w:val="00CD0997"/>
    <w:rsid w:val="00CE53D7"/>
    <w:rsid w:val="00CE59A4"/>
    <w:rsid w:val="00D26A6C"/>
    <w:rsid w:val="00D45A54"/>
    <w:rsid w:val="00D5017D"/>
    <w:rsid w:val="00D7769C"/>
    <w:rsid w:val="00D80DC9"/>
    <w:rsid w:val="00DA0D83"/>
    <w:rsid w:val="00DB64BE"/>
    <w:rsid w:val="00DF0B13"/>
    <w:rsid w:val="00E20969"/>
    <w:rsid w:val="00E57F50"/>
    <w:rsid w:val="00E77974"/>
    <w:rsid w:val="00EA3517"/>
    <w:rsid w:val="00EB2EE7"/>
    <w:rsid w:val="00EB69FA"/>
    <w:rsid w:val="00EC5166"/>
    <w:rsid w:val="00EC7EF8"/>
    <w:rsid w:val="00EE28E1"/>
    <w:rsid w:val="00EE4765"/>
    <w:rsid w:val="00EF249D"/>
    <w:rsid w:val="00F01875"/>
    <w:rsid w:val="00F03E8B"/>
    <w:rsid w:val="00F15319"/>
    <w:rsid w:val="00F16CAC"/>
    <w:rsid w:val="00F23BCF"/>
    <w:rsid w:val="00F41B66"/>
    <w:rsid w:val="00F47CF5"/>
    <w:rsid w:val="00F573E0"/>
    <w:rsid w:val="00F609E0"/>
    <w:rsid w:val="00F7461F"/>
    <w:rsid w:val="00FA30BC"/>
    <w:rsid w:val="00FA4D65"/>
    <w:rsid w:val="00FC1E70"/>
    <w:rsid w:val="00FD51B0"/>
    <w:rsid w:val="00F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5A216-2D5E-48AF-8CBC-E0B9CDFA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6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161F-C606-4B78-8479-C7B3CD29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Marchio</dc:creator>
  <cp:lastModifiedBy>Nick Marchio</cp:lastModifiedBy>
  <cp:revision>9</cp:revision>
  <dcterms:created xsi:type="dcterms:W3CDTF">2014-09-30T15:21:00Z</dcterms:created>
  <dcterms:modified xsi:type="dcterms:W3CDTF">2014-10-06T18:34:00Z</dcterms:modified>
</cp:coreProperties>
</file>