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419" w:eastAsia="es-419"/>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CC5153">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CC5153">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CC5153">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CC5153">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CC5153">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CC5153">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CC5153">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2D011495"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0BD6661B"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C787018"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0892F093"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EC5F48">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7777777"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6695604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77777777"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1A43D99C"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66FAF793"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2A503DDD"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70C01188"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proofErr w:type="spellStart"/>
      <w:r>
        <w:t>Wordpress</w:t>
      </w:r>
      <w:proofErr w:type="spellEnd"/>
      <w:r>
        <w:t>.</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5A3EAE3E"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EndPr/>
        <w:sdtContent>
          <w:r>
            <w:fldChar w:fldCharType="begin"/>
          </w:r>
          <w:r>
            <w:rPr>
              <w:lang w:val="es-ES"/>
            </w:rPr>
            <w:instrText xml:space="preserve"> CITATION Urb13 \l 3082 </w:instrText>
          </w:r>
          <w:r>
            <w:fldChar w:fldCharType="separate"/>
          </w:r>
          <w:r w:rsidRPr="00EC5F48">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EndPr/>
        <w:sdtContent>
          <w:r>
            <w:fldChar w:fldCharType="begin"/>
          </w:r>
          <w:r>
            <w:rPr>
              <w:lang w:val="es-ES"/>
            </w:rPr>
            <w:instrText xml:space="preserve">CITATION MarcadorDePosición1 \t  \l 3082 </w:instrText>
          </w:r>
          <w:r>
            <w:fldChar w:fldCharType="separate"/>
          </w:r>
          <w:r w:rsidRPr="00EC5F48">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0835CC1F" w:rsidR="009612DC" w:rsidRDefault="00CC5153" w:rsidP="009612DC">
      <w:pPr>
        <w:rPr>
          <w:b/>
        </w:rPr>
      </w:pPr>
      <w:sdt>
        <w:sdtPr>
          <w:rPr>
            <w:b/>
          </w:rPr>
          <w:id w:val="-243807236"/>
          <w:citation/>
        </w:sdtPr>
        <w:sdtEndPr/>
        <w:sdtContent>
          <w:r w:rsidR="009612DC">
            <w:rPr>
              <w:b/>
            </w:rPr>
            <w:fldChar w:fldCharType="begin"/>
          </w:r>
          <w:r w:rsidR="009612DC">
            <w:rPr>
              <w:b/>
              <w:lang w:val="es-419"/>
            </w:rPr>
            <w:instrText xml:space="preserve"> CITATION Ort05 \l 22538 </w:instrText>
          </w:r>
          <w:r w:rsidR="009612DC">
            <w:rPr>
              <w:b/>
            </w:rPr>
            <w:fldChar w:fldCharType="separate"/>
          </w:r>
          <w:r w:rsidR="009612DC" w:rsidRPr="009612DC">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EndPr/>
        <w:sdtContent>
          <w:r w:rsidR="00C023D7">
            <w:rPr>
              <w:b/>
            </w:rPr>
            <w:fldChar w:fldCharType="begin"/>
          </w:r>
          <w:r w:rsidR="00C023D7">
            <w:rPr>
              <w:b/>
              <w:lang w:val="es-419"/>
            </w:rPr>
            <w:instrText xml:space="preserve"> CITATION Ort05 \l 22538 </w:instrText>
          </w:r>
          <w:r w:rsidR="00C023D7">
            <w:rPr>
              <w:b/>
            </w:rPr>
            <w:fldChar w:fldCharType="separate"/>
          </w:r>
          <w:r w:rsidR="00C023D7" w:rsidRPr="009612DC">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6C02A0">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6C02A0">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6C02A0">
            <w:r w:rsidRPr="00E56C1E">
              <w:t> </w:t>
            </w:r>
            <w:r>
              <w:t xml:space="preserve">Resumen Narrativo de Objetivos </w:t>
            </w:r>
          </w:p>
        </w:tc>
        <w:tc>
          <w:tcPr>
            <w:tcW w:w="1644" w:type="dxa"/>
            <w:noWrap/>
            <w:hideMark/>
          </w:tcPr>
          <w:p w14:paraId="15AF4407"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6C02A0">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6C02A0">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6C02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6C02A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6C02A0">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6C02A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3FC573F" w:rsidR="00E56C1E" w:rsidRDefault="00E56C1E" w:rsidP="00E56C1E">
      <w:pPr>
        <w:pStyle w:val="Prrafodelista"/>
        <w:numPr>
          <w:ilvl w:val="0"/>
          <w:numId w:val="29"/>
        </w:numPr>
      </w:pPr>
      <w:r>
        <w:t>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orden cronológico y agrupadas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3640D1CD"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Content>
          <w:r w:rsidR="00CC5153">
            <w:rPr>
              <w:b/>
            </w:rPr>
            <w:fldChar w:fldCharType="begin"/>
          </w:r>
          <w:r w:rsidR="00CC5153">
            <w:rPr>
              <w:b/>
              <w:lang w:val="es-419"/>
            </w:rPr>
            <w:instrText xml:space="preserve"> CITATION Ort05 \l 22538 </w:instrText>
          </w:r>
          <w:r w:rsidR="00CC5153">
            <w:rPr>
              <w:b/>
            </w:rPr>
            <w:fldChar w:fldCharType="separate"/>
          </w:r>
          <w:r w:rsidR="00CC5153" w:rsidRPr="009612DC">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EndPr/>
        <w:sdtContent>
          <w:r w:rsidR="00C023D7">
            <w:rPr>
              <w:b/>
            </w:rPr>
            <w:fldChar w:fldCharType="begin"/>
          </w:r>
          <w:r w:rsidR="00C023D7">
            <w:rPr>
              <w:b/>
              <w:lang w:val="es-419"/>
            </w:rPr>
            <w:instrText xml:space="preserve"> CITATION Ort05 \l 22538 </w:instrText>
          </w:r>
          <w:r w:rsidR="00C023D7">
            <w:rPr>
              <w:b/>
            </w:rPr>
            <w:fldChar w:fldCharType="separate"/>
          </w:r>
          <w:r w:rsidR="00C023D7" w:rsidRPr="009612DC">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153855D8"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Content>
          <w:r w:rsidR="00CC5153">
            <w:rPr>
              <w:b/>
            </w:rPr>
            <w:fldChar w:fldCharType="begin"/>
          </w:r>
          <w:r w:rsidR="00CC5153">
            <w:rPr>
              <w:b/>
              <w:lang w:val="es-419"/>
            </w:rPr>
            <w:instrText xml:space="preserve"> CITATION Ort05 \l 22538 </w:instrText>
          </w:r>
          <w:r w:rsidR="00CC5153">
            <w:rPr>
              <w:b/>
            </w:rPr>
            <w:fldChar w:fldCharType="separate"/>
          </w:r>
          <w:r w:rsidR="00CC5153" w:rsidRPr="009612DC">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bookmarkStart w:id="12" w:name="_GoBack"/>
      <w:bookmarkEnd w:id="12"/>
      <w:r w:rsidRPr="006D7032">
        <w:t xml:space="preserve"> etapas que estructuran el ciclo de vida de todo proyecto:</w:t>
      </w:r>
    </w:p>
    <w:p w14:paraId="2568F6AF" w14:textId="62EFF541" w:rsidR="006D7032" w:rsidRDefault="006D7032" w:rsidP="006D7032">
      <w:pPr>
        <w:rPr>
          <w:b/>
        </w:rPr>
      </w:pPr>
      <w:r>
        <w:rPr>
          <w:noProof/>
          <w:lang w:val="es-419" w:eastAsia="es-419"/>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8897D69" w:rsidR="00FD0635" w:rsidRDefault="00FD0635" w:rsidP="00FD0635">
      <w:r>
        <w:t xml:space="preserve">La gran mayoría de las evaluaciones intermedias sobre el desempeño del proyecto periódicas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454859B3"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Content>
          <w:r w:rsidR="00CC5153">
            <w:rPr>
              <w:b/>
            </w:rPr>
            <w:fldChar w:fldCharType="begin"/>
          </w:r>
          <w:r w:rsidR="00CC5153">
            <w:rPr>
              <w:b/>
              <w:lang w:val="es-419"/>
            </w:rPr>
            <w:instrText xml:space="preserve"> CITATION Ort05 \l 22538 </w:instrText>
          </w:r>
          <w:r w:rsidR="00CC5153">
            <w:rPr>
              <w:b/>
            </w:rPr>
            <w:fldChar w:fldCharType="separate"/>
          </w:r>
          <w:r w:rsidR="00CC5153" w:rsidRPr="009612DC">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658CA921" w:rsidR="009A0563" w:rsidRDefault="009A0563" w:rsidP="008B057A">
      <w:pPr>
        <w:pStyle w:val="Prrafodelista"/>
        <w:numPr>
          <w:ilvl w:val="3"/>
          <w:numId w:val="13"/>
        </w:numPr>
      </w:pPr>
      <w:r>
        <w:t xml:space="preserve">Clientes </w:t>
      </w:r>
    </w:p>
    <w:p w14:paraId="7A7ED807" w14:textId="27F1E07F" w:rsidR="009A0563" w:rsidRPr="008B057A" w:rsidRDefault="009A0563" w:rsidP="008B057A">
      <w:pPr>
        <w:pStyle w:val="Prrafodelista"/>
        <w:numPr>
          <w:ilvl w:val="2"/>
          <w:numId w:val="13"/>
        </w:numPr>
        <w:rPr>
          <w:b/>
        </w:rPr>
      </w:pPr>
      <w:r w:rsidRPr="008B057A">
        <w:rPr>
          <w:b/>
        </w:rPr>
        <w:t xml:space="preserve">Estudio técnico </w:t>
      </w:r>
    </w:p>
    <w:p w14:paraId="13172C67" w14:textId="77777777" w:rsidR="008B057A" w:rsidRDefault="009A0563" w:rsidP="008B057A">
      <w:pPr>
        <w:pStyle w:val="Prrafodelista"/>
        <w:numPr>
          <w:ilvl w:val="3"/>
          <w:numId w:val="13"/>
        </w:numPr>
      </w:pPr>
      <w:r>
        <w:t>Tamaño del proyecto</w:t>
      </w:r>
    </w:p>
    <w:p w14:paraId="4F4CB6F7" w14:textId="77777777" w:rsidR="008B057A" w:rsidRDefault="009A0563" w:rsidP="008B057A">
      <w:pPr>
        <w:pStyle w:val="Prrafodelista"/>
        <w:numPr>
          <w:ilvl w:val="3"/>
          <w:numId w:val="13"/>
        </w:numPr>
      </w:pPr>
      <w:r>
        <w:t>Localización</w:t>
      </w:r>
    </w:p>
    <w:p w14:paraId="5B8CD765" w14:textId="77777777" w:rsidR="008B057A" w:rsidRDefault="009A0563" w:rsidP="008B057A">
      <w:pPr>
        <w:pStyle w:val="Prrafodelista"/>
        <w:numPr>
          <w:ilvl w:val="3"/>
          <w:numId w:val="13"/>
        </w:numPr>
      </w:pPr>
      <w:r>
        <w:t xml:space="preserve">Ingeniería del proyecto </w:t>
      </w:r>
    </w:p>
    <w:p w14:paraId="7D2D3EA5" w14:textId="2764A7FA" w:rsidR="009A0563" w:rsidRDefault="009A0563" w:rsidP="008B057A">
      <w:pPr>
        <w:pStyle w:val="Prrafodelista"/>
        <w:numPr>
          <w:ilvl w:val="3"/>
          <w:numId w:val="13"/>
        </w:numPr>
      </w:pPr>
      <w: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695041B3" w14:textId="77777777" w:rsidR="008B057A" w:rsidRDefault="009A0563" w:rsidP="008B057A">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2DD47BA2" w:rsidR="009A0563" w:rsidRPr="00D747AD" w:rsidRDefault="009A0563" w:rsidP="008B057A">
      <w:pPr>
        <w:pStyle w:val="Prrafodelista"/>
        <w:numPr>
          <w:ilvl w:val="3"/>
          <w:numId w:val="13"/>
        </w:numPr>
      </w:pPr>
      <w:r w:rsidRPr="00D747AD">
        <w:t xml:space="preserve">Estados financieros </w:t>
      </w:r>
    </w:p>
    <w:p w14:paraId="3A71E909" w14:textId="77777777" w:rsidR="008B057A" w:rsidRDefault="009A0563" w:rsidP="008B057A">
      <w:pPr>
        <w:pStyle w:val="Prrafodelista"/>
        <w:numPr>
          <w:ilvl w:val="2"/>
          <w:numId w:val="13"/>
        </w:numPr>
        <w:rPr>
          <w:b/>
        </w:rPr>
      </w:pPr>
      <w:r w:rsidRPr="008B057A">
        <w:rPr>
          <w:b/>
        </w:rPr>
        <w:t xml:space="preserve">Estudio económico </w:t>
      </w:r>
    </w:p>
    <w:p w14:paraId="66FEF441" w14:textId="77777777" w:rsidR="008B057A" w:rsidRDefault="008B057A" w:rsidP="008B057A">
      <w:pPr>
        <w:pStyle w:val="Prrafodelista"/>
        <w:numPr>
          <w:ilvl w:val="3"/>
          <w:numId w:val="13"/>
        </w:numPr>
      </w:pPr>
      <w:r>
        <w:t>Tasa interna de rendimiento</w:t>
      </w:r>
    </w:p>
    <w:p w14:paraId="2347C7A4" w14:textId="77777777" w:rsidR="008B057A" w:rsidRDefault="009A0563" w:rsidP="008B057A">
      <w:pPr>
        <w:pStyle w:val="Prrafodelista"/>
        <w:numPr>
          <w:ilvl w:val="3"/>
          <w:numId w:val="13"/>
        </w:numPr>
      </w:pPr>
      <w:r w:rsidRPr="00D747AD">
        <w:t xml:space="preserve">Valor presente neto </w:t>
      </w:r>
    </w:p>
    <w:p w14:paraId="7D02D617" w14:textId="77777777" w:rsidR="008B057A" w:rsidRDefault="009A0563" w:rsidP="008B057A">
      <w:pPr>
        <w:pStyle w:val="Prrafodelista"/>
        <w:numPr>
          <w:ilvl w:val="3"/>
          <w:numId w:val="13"/>
        </w:numPr>
      </w:pPr>
      <w:r w:rsidRPr="00D747AD">
        <w:t xml:space="preserve">Relación beneficio costo </w:t>
      </w:r>
    </w:p>
    <w:p w14:paraId="08208639" w14:textId="03DAD3FA" w:rsidR="009A0563" w:rsidRDefault="009A0563" w:rsidP="008B057A">
      <w:pPr>
        <w:pStyle w:val="Prrafodelista"/>
        <w:numPr>
          <w:ilvl w:val="3"/>
          <w:numId w:val="13"/>
        </w:numPr>
      </w:pPr>
      <w:r w:rsidRPr="00D747AD">
        <w:t>Periodo de recuperación</w:t>
      </w:r>
    </w:p>
    <w:p w14:paraId="0A2A6C82" w14:textId="77777777" w:rsidR="009A0563" w:rsidRDefault="009A0563" w:rsidP="009A0563">
      <w:pPr>
        <w:rPr>
          <w:b/>
        </w:rPr>
      </w:pPr>
    </w:p>
    <w:p w14:paraId="25A197B4" w14:textId="66B29159" w:rsidR="009A0563" w:rsidRPr="008B057A" w:rsidRDefault="007559C6" w:rsidP="007559C6">
      <w:pPr>
        <w:pStyle w:val="Ttulo2"/>
        <w:ind w:firstLine="1134"/>
      </w:pPr>
      <w:bookmarkStart w:id="13" w:name="_Toc494306174"/>
      <w:r>
        <w:t xml:space="preserve">4.2 </w:t>
      </w:r>
      <w:r w:rsidR="009A0563" w:rsidRPr="008B057A">
        <w:t>Sistemas de facturación</w:t>
      </w:r>
      <w:bookmarkEnd w:id="13"/>
      <w:r w:rsidR="009A0563" w:rsidRPr="008B057A">
        <w:t xml:space="preserve"> </w:t>
      </w:r>
    </w:p>
    <w:p w14:paraId="56FCECC7" w14:textId="3B04D634" w:rsidR="008B057A" w:rsidRPr="008B057A" w:rsidRDefault="009A0563" w:rsidP="008B057A">
      <w:pPr>
        <w:pStyle w:val="Prrafodelista"/>
        <w:numPr>
          <w:ilvl w:val="2"/>
          <w:numId w:val="13"/>
        </w:numPr>
        <w:rPr>
          <w:b/>
        </w:rPr>
      </w:pPr>
      <w:r w:rsidRPr="008B057A">
        <w:rPr>
          <w:b/>
        </w:rPr>
        <w:t xml:space="preserve">Concepto </w:t>
      </w:r>
    </w:p>
    <w:p w14:paraId="7336EDAF" w14:textId="77777777" w:rsidR="008B057A" w:rsidRPr="008B057A" w:rsidRDefault="009A0563" w:rsidP="008B057A">
      <w:pPr>
        <w:pStyle w:val="Prrafodelista"/>
        <w:numPr>
          <w:ilvl w:val="2"/>
          <w:numId w:val="13"/>
        </w:numPr>
        <w:rPr>
          <w:b/>
        </w:rPr>
      </w:pPr>
      <w:r w:rsidRPr="008B057A">
        <w:rPr>
          <w:b/>
        </w:rPr>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79C035A0" w:rsidR="009A0563" w:rsidRPr="008B057A" w:rsidRDefault="007559C6" w:rsidP="007559C6">
      <w:pPr>
        <w:pStyle w:val="Ttulo2"/>
        <w:ind w:firstLine="1134"/>
      </w:pPr>
      <w:bookmarkStart w:id="14" w:name="_Toc494306175"/>
      <w:r>
        <w:t xml:space="preserve">4.3 </w:t>
      </w:r>
      <w:r w:rsidR="009A0563" w:rsidRPr="008B057A">
        <w:t>Control interno de inventarios</w:t>
      </w:r>
      <w:bookmarkEnd w:id="14"/>
      <w:r w:rsidR="009A0563" w:rsidRPr="008B057A">
        <w:t xml:space="preserve"> </w:t>
      </w:r>
    </w:p>
    <w:p w14:paraId="6BE6BDA3" w14:textId="77777777" w:rsidR="008B057A" w:rsidRDefault="009A0563" w:rsidP="008B057A">
      <w:pPr>
        <w:pStyle w:val="Prrafodelista"/>
        <w:numPr>
          <w:ilvl w:val="2"/>
          <w:numId w:val="13"/>
        </w:numPr>
        <w:rPr>
          <w:b/>
        </w:rPr>
      </w:pPr>
      <w:r w:rsidRPr="008F127E">
        <w:rPr>
          <w:b/>
        </w:rPr>
        <w:t xml:space="preserve">Concepto </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Pr="008B057A" w:rsidRDefault="009A0563" w:rsidP="008B057A">
      <w:pPr>
        <w:pStyle w:val="Prrafodelista"/>
        <w:numPr>
          <w:ilvl w:val="2"/>
          <w:numId w:val="13"/>
        </w:numPr>
        <w:rPr>
          <w:b/>
        </w:rPr>
      </w:pPr>
      <w:r w:rsidRPr="008B057A">
        <w:rPr>
          <w:b/>
        </w:rPr>
        <w:t>Elementos del control de inventario</w:t>
      </w:r>
    </w:p>
    <w:p w14:paraId="29270371" w14:textId="1BA9DFF7" w:rsidR="009A0563" w:rsidRPr="00615360" w:rsidRDefault="007559C6" w:rsidP="007559C6">
      <w:pPr>
        <w:pStyle w:val="Ttulo2"/>
        <w:ind w:firstLine="1134"/>
      </w:pPr>
      <w:bookmarkStart w:id="15" w:name="_Toc494306176"/>
      <w:r>
        <w:t xml:space="preserve">4.4 </w:t>
      </w:r>
      <w:proofErr w:type="spellStart"/>
      <w:r w:rsidR="009A0563" w:rsidRPr="00615360">
        <w:t>Wordpress</w:t>
      </w:r>
      <w:bookmarkEnd w:id="15"/>
      <w:proofErr w:type="spellEnd"/>
    </w:p>
    <w:p w14:paraId="13680CC1" w14:textId="77777777" w:rsidR="008B057A" w:rsidRDefault="008B057A" w:rsidP="008B057A">
      <w:pPr>
        <w:pStyle w:val="Prrafodelista"/>
        <w:numPr>
          <w:ilvl w:val="2"/>
          <w:numId w:val="13"/>
        </w:numPr>
        <w:rPr>
          <w:b/>
        </w:rPr>
      </w:pPr>
      <w:r>
        <w:rPr>
          <w:b/>
        </w:rPr>
        <w:t>Concepto</w:t>
      </w:r>
    </w:p>
    <w:p w14:paraId="3BB773E2" w14:textId="77777777" w:rsidR="008B057A" w:rsidRDefault="009A0563" w:rsidP="008B057A">
      <w:pPr>
        <w:pStyle w:val="Prrafodelista"/>
        <w:numPr>
          <w:ilvl w:val="2"/>
          <w:numId w:val="13"/>
        </w:numPr>
        <w:rPr>
          <w:b/>
        </w:rPr>
      </w:pPr>
      <w:proofErr w:type="spellStart"/>
      <w:r w:rsidRPr="008B057A">
        <w:rPr>
          <w:b/>
        </w:rPr>
        <w:t>Plugin</w:t>
      </w:r>
      <w:proofErr w:type="spellEnd"/>
    </w:p>
    <w:p w14:paraId="06E8CA0C" w14:textId="77777777" w:rsidR="008B057A" w:rsidRDefault="009A0563" w:rsidP="008B057A">
      <w:pPr>
        <w:pStyle w:val="Prrafodelista"/>
        <w:numPr>
          <w:ilvl w:val="2"/>
          <w:numId w:val="13"/>
        </w:numPr>
        <w:rPr>
          <w:b/>
        </w:rPr>
      </w:pPr>
      <w:r w:rsidRPr="008B057A">
        <w:rPr>
          <w:b/>
        </w:rPr>
        <w:t xml:space="preserve">Uso de </w:t>
      </w:r>
      <w:proofErr w:type="spellStart"/>
      <w:r w:rsidRPr="008B057A">
        <w:rPr>
          <w:b/>
        </w:rPr>
        <w:t>woocomerce</w:t>
      </w:r>
      <w:proofErr w:type="spellEnd"/>
    </w:p>
    <w:p w14:paraId="3F701609" w14:textId="77777777" w:rsidR="008B057A" w:rsidRDefault="009A0563" w:rsidP="008B057A">
      <w:pPr>
        <w:pStyle w:val="Prrafodelista"/>
        <w:numPr>
          <w:ilvl w:val="2"/>
          <w:numId w:val="13"/>
        </w:numPr>
        <w:rPr>
          <w:b/>
        </w:rPr>
      </w:pPr>
      <w:r w:rsidRPr="008B057A">
        <w:rPr>
          <w:b/>
        </w:rPr>
        <w:t xml:space="preserve">Características </w:t>
      </w:r>
    </w:p>
    <w:p w14:paraId="36A1A2BD" w14:textId="51081DE7" w:rsidR="009A0563" w:rsidRPr="008B057A" w:rsidRDefault="009A0563" w:rsidP="008B057A">
      <w:pPr>
        <w:pStyle w:val="Prrafodelista"/>
        <w:numPr>
          <w:ilvl w:val="2"/>
          <w:numId w:val="13"/>
        </w:numPr>
        <w:rPr>
          <w:b/>
        </w:rPr>
      </w:pPr>
      <w:r w:rsidRPr="008B057A">
        <w:rPr>
          <w:b/>
        </w:rPr>
        <w:lastRenderedPageBreak/>
        <w:t xml:space="preserve">Ventajas y desventajas </w:t>
      </w:r>
    </w:p>
    <w:p w14:paraId="71ECEE38" w14:textId="77777777" w:rsidR="009A0563" w:rsidRDefault="009A0563" w:rsidP="009A0563"/>
    <w:p w14:paraId="2F8046E7" w14:textId="77777777" w:rsidR="009A0563" w:rsidRPr="009A0563" w:rsidRDefault="009A0563" w:rsidP="009A0563">
      <w:pPr>
        <w:rPr>
          <w:lang w:val="es-ES" w:eastAsia="es-ES"/>
        </w:rPr>
      </w:pPr>
    </w:p>
    <w:p w14:paraId="57969CC0" w14:textId="40ECE831" w:rsidR="00D919C6" w:rsidRDefault="00D919C6" w:rsidP="00E22733">
      <w:pPr>
        <w:spacing w:line="480" w:lineRule="auto"/>
      </w:pPr>
    </w:p>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rsidR="004B2A0B">
            <w:fldChar w:fldCharType="begin"/>
          </w:r>
          <w:r w:rsidR="004B2A0B">
            <w:rPr>
              <w:lang w:val="es-ES"/>
            </w:rPr>
            <w:instrText xml:space="preserve">CITATION Urb13 \p 2 \t  \l 3082 </w:instrText>
          </w:r>
          <w:r w:rsidR="004B2A0B">
            <w:fldChar w:fldCharType="separate"/>
          </w:r>
          <w:r w:rsidR="00EC5F48">
            <w:rPr>
              <w:noProof/>
              <w:lang w:val="es-ES"/>
            </w:rPr>
            <w:t xml:space="preserve"> </w:t>
          </w:r>
          <w:r w:rsidR="00EC5F48" w:rsidRPr="00EC5F48">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EndPr/>
        <w:sdtContent>
          <w:r>
            <w:fldChar w:fldCharType="begin"/>
          </w:r>
          <w:r>
            <w:rPr>
              <w:lang w:val="es-ES"/>
            </w:rPr>
            <w:instrText xml:space="preserve">CITATION Urb13 \p 2 \l 3082 </w:instrText>
          </w:r>
          <w:r>
            <w:fldChar w:fldCharType="separate"/>
          </w:r>
          <w:r w:rsidR="00EC5F48">
            <w:rPr>
              <w:noProof/>
              <w:lang w:val="es-ES"/>
            </w:rPr>
            <w:t xml:space="preserve"> </w:t>
          </w:r>
          <w:r w:rsidR="00EC5F48" w:rsidRPr="00EC5F48">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lastRenderedPageBreak/>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End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EndPr/>
        <w:sdtContent>
          <w:r w:rsidR="00A56E17">
            <w:fldChar w:fldCharType="begin"/>
          </w:r>
          <w:r w:rsidR="00EC5F48">
            <w:rPr>
              <w:lang w:val="es-ES"/>
            </w:rPr>
            <w:instrText xml:space="preserve">CITATION Nas \p 19-21 \l 3082 </w:instrText>
          </w:r>
          <w:r w:rsidR="00A56E17">
            <w:fldChar w:fldCharType="separate"/>
          </w:r>
          <w:r w:rsidR="00EC5F48" w:rsidRPr="00EC5F48">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EndPr/>
        <w:sdtContent>
          <w:r>
            <w:fldChar w:fldCharType="begin"/>
          </w:r>
          <w:r w:rsidR="00EC5F48">
            <w:rPr>
              <w:lang w:val="es-ES"/>
            </w:rPr>
            <w:instrText xml:space="preserve">CITATION Nas \p 19-21 \l 3082 </w:instrText>
          </w:r>
          <w:r>
            <w:fldChar w:fldCharType="separate"/>
          </w:r>
          <w:r w:rsidR="00EC5F48" w:rsidRPr="00EC5F48">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w:t>
      </w:r>
      <w:r w:rsidRPr="00FA2B38">
        <w:lastRenderedPageBreak/>
        <w:t xml:space="preserve">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w:t>
      </w:r>
      <w:r w:rsidRPr="00FA2B38">
        <w:lastRenderedPageBreak/>
        <w:t xml:space="preserve">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EndPr/>
        <w:sdtContent>
          <w:r w:rsidRPr="00FA2B38">
            <w:fldChar w:fldCharType="begin"/>
          </w:r>
          <w:r w:rsidRPr="00FA2B38">
            <w:instrText xml:space="preserve"> CITATION Cai12 \l 19466 </w:instrText>
          </w:r>
          <w:r w:rsidRPr="00FA2B38">
            <w:fldChar w:fldCharType="separate"/>
          </w:r>
          <w:r w:rsidR="00EC5F48">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lastRenderedPageBreak/>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CC5153" w:rsidP="00FA2B38">
      <w:pPr>
        <w:spacing w:line="480" w:lineRule="auto"/>
        <w:ind w:firstLine="708"/>
      </w:pPr>
      <w:sdt>
        <w:sdtPr>
          <w:id w:val="-331225580"/>
          <w:citation/>
        </w:sdtPr>
        <w:sdtEndPr/>
        <w:sdtContent>
          <w:r w:rsidR="00FA2B38" w:rsidRPr="00FA2B38">
            <w:fldChar w:fldCharType="begin"/>
          </w:r>
          <w:r w:rsidR="00FA2B38" w:rsidRPr="00FA2B38">
            <w:instrText xml:space="preserve"> CITATION Cha82 \l 19466 </w:instrText>
          </w:r>
          <w:r w:rsidR="00FA2B38" w:rsidRPr="00FA2B38">
            <w:fldChar w:fldCharType="separate"/>
          </w:r>
          <w:r w:rsidR="00EC5F48">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w:t>
      </w:r>
      <w:r w:rsidR="00FA2B38" w:rsidRPr="00FA2B38">
        <w:lastRenderedPageBreak/>
        <w:t>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656822FB"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EndPr/>
      <w:sdtContent>
        <w:p w14:paraId="1BC9EE9C" w14:textId="0984A462" w:rsidR="00520EF4" w:rsidRPr="00EC3070" w:rsidRDefault="00520EF4" w:rsidP="009A0563">
          <w:pPr>
            <w:pStyle w:val="Ttulo1"/>
            <w:numPr>
              <w:ilvl w:val="0"/>
              <w:numId w:val="13"/>
            </w:numPr>
          </w:pPr>
          <w:r w:rsidRPr="00EC3070">
            <w:t>Bibliografía</w:t>
          </w:r>
          <w:bookmarkEnd w:id="17"/>
        </w:p>
        <w:sdt>
          <w:sdtPr>
            <w:id w:val="111145805"/>
            <w:bibliography/>
          </w:sdtPr>
          <w:sdtEndPr/>
          <w:sdtContent>
            <w:p w14:paraId="37DE3513" w14:textId="77777777" w:rsidR="00EC5F48" w:rsidRDefault="00520EF4" w:rsidP="00EC5F48">
              <w:pPr>
                <w:pStyle w:val="Bibliografa"/>
                <w:ind w:left="720" w:hanging="720"/>
                <w:rPr>
                  <w:noProof/>
                </w:rPr>
              </w:pPr>
              <w:r w:rsidRPr="00EC3070">
                <w:fldChar w:fldCharType="begin"/>
              </w:r>
              <w:r w:rsidRPr="00EC3070">
                <w:instrText>BIBLIOGRAPHY</w:instrText>
              </w:r>
              <w:r w:rsidRPr="00EC3070">
                <w:fldChar w:fldCharType="separate"/>
              </w:r>
              <w:r w:rsidR="00EC5F48">
                <w:rPr>
                  <w:noProof/>
                </w:rPr>
                <w:t xml:space="preserve">Banco Central de Nicaragua. (Enero 2017). </w:t>
              </w:r>
              <w:r w:rsidR="00EC5F48">
                <w:rPr>
                  <w:i/>
                  <w:iCs/>
                  <w:noProof/>
                </w:rPr>
                <w:t>CARTOGRAFÍA DIGITAL Y CENSO DE EDIFICACIONES .</w:t>
              </w:r>
              <w:r w:rsidR="00EC5F48">
                <w:rPr>
                  <w:noProof/>
                </w:rPr>
                <w:t xml:space="preserve"> Cabecera Municipal de Estelí.</w:t>
              </w:r>
            </w:p>
            <w:p w14:paraId="62A6E4FB" w14:textId="77777777" w:rsidR="00EC5F48" w:rsidRDefault="00EC5F48" w:rsidP="00EC5F48">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7AB4B2C" w14:textId="77777777" w:rsidR="00EC5F48" w:rsidRDefault="00EC5F48" w:rsidP="00EC5F48">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416FB698" w14:textId="77777777" w:rsidR="00EC5F48" w:rsidRDefault="00EC5F48" w:rsidP="00EC5F48">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75BCB65D" w14:textId="77777777" w:rsidR="00EC5F48" w:rsidRDefault="00EC5F48" w:rsidP="00EC5F48">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63AD031F" w14:textId="77777777" w:rsidR="00EC5F48" w:rsidRDefault="00EC5F48" w:rsidP="00EC5F48">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7F5DA77B" w14:textId="77777777" w:rsidR="00EC5F48" w:rsidRDefault="00EC5F48" w:rsidP="00EC5F48">
              <w:pPr>
                <w:pStyle w:val="Bibliografa"/>
                <w:ind w:left="720" w:hanging="720"/>
                <w:rPr>
                  <w:noProof/>
                </w:rPr>
              </w:pPr>
              <w:r>
                <w:rPr>
                  <w:noProof/>
                </w:rPr>
                <w:t xml:space="preserve">Sapag, N. S. (s.f.). </w:t>
              </w:r>
              <w:r>
                <w:rPr>
                  <w:i/>
                  <w:iCs/>
                  <w:noProof/>
                </w:rPr>
                <w:t>El proceso de preparación y evaluación de proyectos.</w:t>
              </w:r>
              <w:r>
                <w:rPr>
                  <w:noProof/>
                </w:rPr>
                <w:t xml:space="preserve"> Bogota: McGraw-Hill Interamericana S.A.</w:t>
              </w:r>
            </w:p>
            <w:p w14:paraId="46EF171D" w14:textId="77777777" w:rsidR="00EC5F48" w:rsidRDefault="00EC5F48" w:rsidP="00EC5F48">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5D569012" w14:textId="77777777" w:rsidR="00EC5F48" w:rsidRDefault="00EC5F48" w:rsidP="00EC5F48">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5A1EF18" w14:textId="409EAE98" w:rsidR="00A1402D" w:rsidRPr="005E5C0E" w:rsidRDefault="00520EF4" w:rsidP="00EC5F48">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8"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1"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2" w15:restartNumberingAfterBreak="0">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5"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3"/>
  </w:num>
  <w:num w:numId="2">
    <w:abstractNumId w:val="23"/>
  </w:num>
  <w:num w:numId="3">
    <w:abstractNumId w:val="5"/>
  </w:num>
  <w:num w:numId="4">
    <w:abstractNumId w:val="18"/>
  </w:num>
  <w:num w:numId="5">
    <w:abstractNumId w:val="19"/>
  </w:num>
  <w:num w:numId="6">
    <w:abstractNumId w:val="10"/>
  </w:num>
  <w:num w:numId="7">
    <w:abstractNumId w:val="26"/>
  </w:num>
  <w:num w:numId="8">
    <w:abstractNumId w:val="0"/>
  </w:num>
  <w:num w:numId="9">
    <w:abstractNumId w:val="1"/>
  </w:num>
  <w:num w:numId="10">
    <w:abstractNumId w:val="28"/>
  </w:num>
  <w:num w:numId="11">
    <w:abstractNumId w:val="25"/>
  </w:num>
  <w:num w:numId="12">
    <w:abstractNumId w:val="12"/>
  </w:num>
  <w:num w:numId="13">
    <w:abstractNumId w:val="11"/>
  </w:num>
  <w:num w:numId="14">
    <w:abstractNumId w:val="21"/>
  </w:num>
  <w:num w:numId="15">
    <w:abstractNumId w:val="6"/>
  </w:num>
  <w:num w:numId="16">
    <w:abstractNumId w:val="4"/>
  </w:num>
  <w:num w:numId="17">
    <w:abstractNumId w:val="4"/>
  </w:num>
  <w:num w:numId="18">
    <w:abstractNumId w:val="2"/>
  </w:num>
  <w:num w:numId="19">
    <w:abstractNumId w:val="4"/>
    <w:lvlOverride w:ilvl="0">
      <w:startOverride w:val="1"/>
    </w:lvlOverride>
  </w:num>
  <w:num w:numId="20">
    <w:abstractNumId w:val="14"/>
  </w:num>
  <w:num w:numId="21">
    <w:abstractNumId w:val="16"/>
  </w:num>
  <w:num w:numId="22">
    <w:abstractNumId w:val="7"/>
  </w:num>
  <w:num w:numId="23">
    <w:abstractNumId w:val="17"/>
  </w:num>
  <w:num w:numId="24">
    <w:abstractNumId w:val="24"/>
  </w:num>
  <w:num w:numId="25">
    <w:abstractNumId w:val="20"/>
  </w:num>
  <w:num w:numId="26">
    <w:abstractNumId w:val="8"/>
  </w:num>
  <w:num w:numId="27">
    <w:abstractNumId w:val="22"/>
  </w:num>
  <w:num w:numId="28">
    <w:abstractNumId w:val="27"/>
  </w:num>
  <w:num w:numId="29">
    <w:abstractNumId w:val="9"/>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83A64"/>
    <w:rsid w:val="000B4CDB"/>
    <w:rsid w:val="000C0166"/>
    <w:rsid w:val="000F6D72"/>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7B3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F1194"/>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4DB6"/>
    <w:rsid w:val="008A333F"/>
    <w:rsid w:val="008B057A"/>
    <w:rsid w:val="008B3DD5"/>
    <w:rsid w:val="008C14E4"/>
    <w:rsid w:val="008C235E"/>
    <w:rsid w:val="008C4617"/>
    <w:rsid w:val="008D12DD"/>
    <w:rsid w:val="008E2D66"/>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7CE8"/>
    <w:rsid w:val="00C61A32"/>
    <w:rsid w:val="00C67136"/>
    <w:rsid w:val="00C757D6"/>
    <w:rsid w:val="00C80D61"/>
    <w:rsid w:val="00C84B27"/>
    <w:rsid w:val="00CA2195"/>
    <w:rsid w:val="00CB2B1E"/>
    <w:rsid w:val="00CB5239"/>
    <w:rsid w:val="00CB5E3D"/>
    <w:rsid w:val="00CC5153"/>
    <w:rsid w:val="00CD0EA5"/>
    <w:rsid w:val="00CE2E23"/>
    <w:rsid w:val="00CF5F9E"/>
    <w:rsid w:val="00D12F96"/>
    <w:rsid w:val="00D312C1"/>
    <w:rsid w:val="00D36394"/>
    <w:rsid w:val="00D4184D"/>
    <w:rsid w:val="00D45492"/>
    <w:rsid w:val="00D454FC"/>
    <w:rsid w:val="00D71234"/>
    <w:rsid w:val="00D83578"/>
    <w:rsid w:val="00D919C6"/>
    <w:rsid w:val="00DC4A87"/>
    <w:rsid w:val="00DD76BD"/>
    <w:rsid w:val="00E108AD"/>
    <w:rsid w:val="00E22733"/>
    <w:rsid w:val="00E2349C"/>
    <w:rsid w:val="00E30D94"/>
    <w:rsid w:val="00E442BE"/>
    <w:rsid w:val="00E56C1E"/>
    <w:rsid w:val="00E608D6"/>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7253"/>
    <w:rsid w:val="00F50E21"/>
    <w:rsid w:val="00F71203"/>
    <w:rsid w:val="00F94450"/>
    <w:rsid w:val="00FA2B38"/>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23333729-6C2B-4D17-BCE3-53793A78E19D}" type="presOf" srcId="{1184B1EF-08A2-404A-93F7-0AFFA88419AD}" destId="{61FB91CF-B804-48B1-BF30-8697747CB3E6}"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59D4C4B4-7FE4-401A-9BDF-ADCBB88C9716}" type="presOf" srcId="{485810F3-74EE-41A0-8ED9-1EB5856783DE}" destId="{67DBED1B-8572-4A6A-9B28-EF9D2D4C6F8D}" srcOrd="0" destOrd="0" presId="urn:microsoft.com/office/officeart/2005/8/layout/cycle3"/>
    <dgm:cxn modelId="{33653E22-6F63-4E6F-903A-4CA7BB7FC8A3}" type="presOf" srcId="{F6F682AD-5BD7-4580-BBA8-5EA58FDC84B4}" destId="{68EB78E5-17D5-4E3B-A57B-D68FBF11B1C3}" srcOrd="0" destOrd="0" presId="urn:microsoft.com/office/officeart/2005/8/layout/cycle3"/>
    <dgm:cxn modelId="{11AE7065-C230-46E6-B563-20C1D926792D}" type="presOf" srcId="{C48749F2-DD8A-4C72-AF27-F7157508A16A}" destId="{0D83D45D-11AD-4CEF-ACDE-E1CFEC9B5969}" srcOrd="0" destOrd="0" presId="urn:microsoft.com/office/officeart/2005/8/layout/cycle3"/>
    <dgm:cxn modelId="{E9B53236-E9B8-4174-B693-0BC654E235E2}" type="presOf" srcId="{16C56E12-9840-4E58-8A3B-47DF1940A4B3}" destId="{F44ED389-3121-4FB3-B624-B06E8CC180DE}" srcOrd="0" destOrd="0" presId="urn:microsoft.com/office/officeart/2005/8/layout/cycle3"/>
    <dgm:cxn modelId="{B0933847-80AD-4D0E-8FA4-0034D3F939C8}" type="presParOf" srcId="{F44ED389-3121-4FB3-B624-B06E8CC180DE}" destId="{3F38720C-7082-4EE6-9279-CAE74BD3C441}" srcOrd="0" destOrd="0" presId="urn:microsoft.com/office/officeart/2005/8/layout/cycle3"/>
    <dgm:cxn modelId="{E93163FB-0353-44A2-B973-EDFC9AC6FE25}" type="presParOf" srcId="{3F38720C-7082-4EE6-9279-CAE74BD3C441}" destId="{0D83D45D-11AD-4CEF-ACDE-E1CFEC9B5969}" srcOrd="0" destOrd="0" presId="urn:microsoft.com/office/officeart/2005/8/layout/cycle3"/>
    <dgm:cxn modelId="{7BF064F1-7B8A-4BCD-A7FD-19CFEF09B7A1}" type="presParOf" srcId="{3F38720C-7082-4EE6-9279-CAE74BD3C441}" destId="{68EB78E5-17D5-4E3B-A57B-D68FBF11B1C3}" srcOrd="1" destOrd="0" presId="urn:microsoft.com/office/officeart/2005/8/layout/cycle3"/>
    <dgm:cxn modelId="{8600FA86-C608-40EA-AA82-DD0777C5F040}" type="presParOf" srcId="{3F38720C-7082-4EE6-9279-CAE74BD3C441}" destId="{67DBED1B-8572-4A6A-9B28-EF9D2D4C6F8D}" srcOrd="2" destOrd="0" presId="urn:microsoft.com/office/officeart/2005/8/layout/cycle3"/>
    <dgm:cxn modelId="{4BFA2BC7-5AA9-4873-B637-AAC2C4985D1E}"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6</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7</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8</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9</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10</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5</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s>
</file>

<file path=customXml/itemProps1.xml><?xml version="1.0" encoding="utf-8"?>
<ds:datastoreItem xmlns:ds="http://schemas.openxmlformats.org/officeDocument/2006/customXml" ds:itemID="{6E2D5A9D-3421-4A68-B893-52429E5C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22</Pages>
  <Words>4961</Words>
  <Characters>27290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Emelina</cp:lastModifiedBy>
  <cp:revision>68</cp:revision>
  <dcterms:created xsi:type="dcterms:W3CDTF">2017-09-21T00:54:00Z</dcterms:created>
  <dcterms:modified xsi:type="dcterms:W3CDTF">2017-09-29T03:04:00Z</dcterms:modified>
</cp:coreProperties>
</file>