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47666232" w:rsidR="005D546B" w:rsidRPr="00372258" w:rsidRDefault="00203949">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05158">
            <w:rPr>
              <w:lang w:val="es-ES_tradnl" w:eastAsia="es-ES_tradnl"/>
            </w:rPr>
            <w:t xml:space="preserve">Proyecto De Pre-Factibilidad De Un Sistema De Facturación Y Control De Stock Basado En El Uso Del Framework Angular De Google Para El Sector Comercial De La </w:t>
          </w:r>
          <w:proofErr w:type="spellStart"/>
          <w:r w:rsidR="00005158">
            <w:rPr>
              <w:lang w:val="es-ES_tradnl" w:eastAsia="es-ES_tradnl"/>
            </w:rPr>
            <w:t>MyPes</w:t>
          </w:r>
          <w:proofErr w:type="spellEnd"/>
          <w:r w:rsidR="00005158">
            <w:rPr>
              <w:lang w:val="es-ES_tradnl" w:eastAsia="es-ES_tradnl"/>
            </w:rPr>
            <w:t xml:space="preserve"> Del Municipio De Estelí En El Año 2018.</w:t>
          </w:r>
          <w:r w:rsidR="00005158">
            <w:rPr>
              <w:lang w:val="es-ES_tradnl" w:eastAsia="es-ES_tradnl"/>
            </w:rPr>
            <w:br/>
          </w:r>
          <w:r w:rsidR="00005158">
            <w:rPr>
              <w:lang w:val="es-ES_tradnl" w:eastAsia="es-ES_tradnl"/>
            </w:rPr>
            <w:br/>
          </w:r>
          <w:r w:rsidR="00005158">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AC3E29C" w:rsidR="005D546B" w:rsidRPr="00A71A9A" w:rsidRDefault="008356FA" w:rsidP="008356FA">
      <w:pPr>
        <w:pStyle w:val="Ttulo1"/>
      </w:pPr>
      <w:r>
        <w:rPr>
          <w:lang w:bidi="es-ES"/>
        </w:rPr>
        <w:t>Introducción</w:t>
      </w:r>
    </w:p>
    <w:sdt>
      <w:sdtPr>
        <w:id w:val="-1399134618"/>
        <w:placeholder>
          <w:docPart w:val="8A23AE4838E249D5AA0AC6C6DC724FDB"/>
        </w:placeholder>
        <w:temporary/>
        <w:showingPlcHdr/>
        <w15:appearance w15:val="hidden"/>
        <w:text/>
      </w:sdtPr>
      <w:sdtEndPr/>
      <w:sdtContent>
        <w:p w14:paraId="512CE618" w14:textId="77777777" w:rsidR="005D546B" w:rsidRPr="00A71A9A" w:rsidRDefault="00CC7936">
          <w:pPr>
            <w:pStyle w:val="Sinespaciado"/>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14:paraId="4283FAA3" w14:textId="77777777" w:rsidR="005D546B" w:rsidRPr="00A71A9A" w:rsidRDefault="00CC7936">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EndPr/>
        <w:sdtContent>
          <w:r w:rsidRPr="00A71A9A">
            <w:rPr>
              <w:lang w:bidi="es-ES"/>
            </w:rPr>
            <w:t>[Haga clic aquí para agregar palabras clave]</w:t>
          </w:r>
        </w:sdtContent>
      </w:sdt>
    </w:p>
    <w:p w14:paraId="5C3329D6" w14:textId="77777777" w:rsidR="005D546B" w:rsidRPr="00A71A9A" w:rsidRDefault="005D546B"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5D9EBCF4" w14:textId="77777777" w:rsidR="00631F0C" w:rsidRPr="00631F0C" w:rsidRDefault="00631F0C" w:rsidP="00631F0C">
      <w:pPr>
        <w:pStyle w:val="Ttulo1"/>
      </w:pPr>
      <w:bookmarkStart w:id="0" w:name="_Toc494876152"/>
      <w:r w:rsidRPr="00631F0C">
        <w:lastRenderedPageBreak/>
        <w:t>PROBLEMA DE INVESTIGACIÓN</w:t>
      </w:r>
      <w:bookmarkEnd w:id="0"/>
    </w:p>
    <w:p w14:paraId="2DC3C372" w14:textId="77777777" w:rsidR="00631F0C" w:rsidRDefault="00631F0C" w:rsidP="00631F0C">
      <w:pPr>
        <w:pStyle w:val="Ttulo2"/>
      </w:pPr>
      <w:bookmarkStart w:id="1" w:name="_Toc494876153"/>
      <w:r w:rsidRPr="00631F0C">
        <w:t>Delimitación Del Problema De Investigación</w:t>
      </w:r>
      <w:bookmarkEnd w:id="1"/>
    </w:p>
    <w:p w14:paraId="4A2DA7FB" w14:textId="77777777"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14:paraId="54923188" w14:textId="77777777"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EndPr/>
        <w:sdtContent>
          <w:r w:rsidR="000F4487">
            <w:fldChar w:fldCharType="begin"/>
          </w:r>
          <w:r w:rsidR="000F4487">
            <w:instrText xml:space="preserve"> CITATION Ban16 \l 3082 </w:instrText>
          </w:r>
          <w:r w:rsidR="000F4487">
            <w:fldChar w:fldCharType="separate"/>
          </w:r>
          <w:r w:rsidR="00D7460E">
            <w:rPr>
              <w:noProof/>
            </w:rPr>
            <w:t xml:space="preserve"> (Mundial, 2016)</w:t>
          </w:r>
          <w:r w:rsidR="000F4487">
            <w:fldChar w:fldCharType="end"/>
          </w:r>
        </w:sdtContent>
      </w:sdt>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A65F632" w14:textId="77777777" w:rsidR="00631F0C" w:rsidRPr="00EC3070" w:rsidRDefault="00631F0C" w:rsidP="00631F0C">
      <w:pPr>
        <w:jc w:val="both"/>
      </w:pPr>
      <w:r w:rsidRPr="00EC3070">
        <w:t>Según</w:t>
      </w:r>
      <w:r>
        <w:t xml:space="preserve"> </w:t>
      </w:r>
      <w:sdt>
        <w:sdtPr>
          <w:id w:val="-1619217197"/>
          <w:citation/>
        </w:sdtPr>
        <w:sdtEndPr/>
        <w:sdtContent>
          <w:r w:rsidRPr="00EC3070">
            <w:fldChar w:fldCharType="begin"/>
          </w:r>
          <w:r>
            <w:instrText xml:space="preserve">CITATION Ban17 \l 3082 </w:instrText>
          </w:r>
          <w:r w:rsidRPr="00EC3070">
            <w:fldChar w:fldCharType="separate"/>
          </w:r>
          <w:r w:rsidR="00D7460E">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77777777"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77777777" w:rsidR="00631F0C" w:rsidRDefault="00631F0C" w:rsidP="00631F0C">
      <w:pPr>
        <w:pStyle w:val="Ttulo2"/>
      </w:pPr>
      <w:bookmarkStart w:id="2" w:name="_Toc494876154"/>
      <w:r w:rsidRPr="00631F0C">
        <w:t>Formulación</w:t>
      </w:r>
      <w:r>
        <w:t xml:space="preserve"> </w:t>
      </w:r>
      <w:r w:rsidRPr="00EC3070">
        <w:t>Del</w:t>
      </w:r>
      <w:r>
        <w:t xml:space="preserve"> </w:t>
      </w:r>
      <w:r w:rsidRPr="00EC3070">
        <w:t>Problema</w:t>
      </w:r>
      <w:r>
        <w:t xml:space="preserve"> </w:t>
      </w:r>
      <w:r w:rsidRPr="00EC3070">
        <w:t>De</w:t>
      </w:r>
      <w:r>
        <w:t xml:space="preserve"> </w:t>
      </w:r>
      <w:r w:rsidRPr="00EC3070">
        <w:t>Investigación.</w:t>
      </w:r>
      <w:bookmarkEnd w:id="2"/>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77777777" w:rsidR="00631F0C" w:rsidRPr="00631F0C" w:rsidRDefault="00631F0C" w:rsidP="00631F0C">
      <w:pPr>
        <w:pStyle w:val="Ttulo2"/>
      </w:pPr>
      <w:bookmarkStart w:id="3" w:name="_Toc494876155"/>
      <w:r w:rsidRPr="00631F0C">
        <w:t>Sistematización Del Problema De Investigación.</w:t>
      </w:r>
      <w:bookmarkEnd w:id="3"/>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77777777" w:rsidR="00631F0C" w:rsidRPr="00631F0C" w:rsidRDefault="00631F0C" w:rsidP="00631F0C">
      <w:pPr>
        <w:pStyle w:val="Ttulo2"/>
      </w:pPr>
      <w:bookmarkStart w:id="4" w:name="_Toc494876156"/>
      <w:r w:rsidRPr="00631F0C">
        <w:t>Justificación</w:t>
      </w:r>
      <w:bookmarkEnd w:id="4"/>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77777777" w:rsidR="00631F0C" w:rsidRPr="00E11D69" w:rsidRDefault="00631F0C" w:rsidP="00631F0C">
      <w:pPr>
        <w:pStyle w:val="Ttulo1"/>
      </w:pPr>
      <w:bookmarkStart w:id="5" w:name="_Toc494876157"/>
      <w:r w:rsidRPr="00631F0C">
        <w:t>OBJETIVO DE INVESTIGACIÓN</w:t>
      </w:r>
      <w:bookmarkEnd w:id="5"/>
    </w:p>
    <w:p w14:paraId="58A1AE12" w14:textId="77777777" w:rsidR="00631F0C" w:rsidRPr="00631F0C" w:rsidRDefault="00631F0C" w:rsidP="00631F0C">
      <w:pPr>
        <w:pStyle w:val="Ttulo2"/>
      </w:pPr>
      <w:bookmarkStart w:id="6" w:name="_Toc494876158"/>
      <w:r w:rsidRPr="00631F0C">
        <w:t>Objetivo General</w:t>
      </w:r>
      <w:bookmarkEnd w:id="6"/>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77777777" w:rsidR="00631F0C" w:rsidRPr="00631F0C" w:rsidRDefault="00631F0C" w:rsidP="00631F0C">
      <w:pPr>
        <w:pStyle w:val="Ttulo2"/>
      </w:pPr>
      <w:r w:rsidRPr="00631F0C">
        <w:t xml:space="preserve"> </w:t>
      </w:r>
      <w:bookmarkStart w:id="7" w:name="_Toc494876159"/>
      <w:r w:rsidRPr="00631F0C">
        <w:t>Objetivos Específicos</w:t>
      </w:r>
      <w:bookmarkEnd w:id="7"/>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7777777" w:rsidR="00631F0C" w:rsidRPr="00E11D69" w:rsidRDefault="00631F0C" w:rsidP="000250C9">
      <w:pPr>
        <w:pStyle w:val="Ttulo1"/>
      </w:pPr>
      <w:bookmarkStart w:id="8" w:name="_Toc494876160"/>
      <w:r w:rsidRPr="00FA2B38">
        <w:lastRenderedPageBreak/>
        <w:t>MARCO</w:t>
      </w:r>
      <w:r>
        <w:t xml:space="preserve"> </w:t>
      </w:r>
      <w:r w:rsidRPr="00FA2B38">
        <w:t>TEÓRICO</w:t>
      </w:r>
      <w:bookmarkEnd w:id="8"/>
      <w:r>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9" w:name="_Toc494876161"/>
    </w:p>
    <w:p w14:paraId="1901DB88" w14:textId="77777777" w:rsidR="00631F0C" w:rsidRPr="001466EC" w:rsidRDefault="00631F0C" w:rsidP="000250C9">
      <w:pPr>
        <w:pStyle w:val="Ttulo2"/>
      </w:pPr>
      <w:r>
        <w:t>Angular</w:t>
      </w:r>
      <w:bookmarkEnd w:id="9"/>
    </w:p>
    <w:p w14:paraId="774FB736" w14:textId="77777777" w:rsidR="00631F0C" w:rsidRDefault="00631F0C" w:rsidP="00631F0C">
      <w:pPr>
        <w:jc w:val="both"/>
      </w:pPr>
    </w:p>
    <w:p w14:paraId="48349C69" w14:textId="77777777" w:rsidR="00631F0C" w:rsidRPr="000250C9" w:rsidRDefault="00631F0C" w:rsidP="000250C9">
      <w:pPr>
        <w:pStyle w:val="Ttulo2"/>
      </w:pPr>
      <w:bookmarkStart w:id="10" w:name="_Toc494876162"/>
      <w:r w:rsidRPr="000250C9">
        <w:t>Sistemas de facturación</w:t>
      </w:r>
      <w:bookmarkEnd w:id="10"/>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77777777" w:rsidR="00631F0C" w:rsidRPr="000250C9" w:rsidRDefault="00631F0C" w:rsidP="000250C9">
      <w:pPr>
        <w:pStyle w:val="Ttulo2"/>
      </w:pPr>
      <w:bookmarkStart w:id="11" w:name="_Toc494876163"/>
      <w:r w:rsidRPr="000250C9">
        <w:t>Control del stock</w:t>
      </w:r>
      <w:bookmarkEnd w:id="11"/>
    </w:p>
    <w:p w14:paraId="6220556E" w14:textId="77777777" w:rsidR="00631F0C" w:rsidRPr="003C154A" w:rsidRDefault="00631F0C" w:rsidP="000250C9">
      <w:pPr>
        <w:jc w:val="both"/>
      </w:pPr>
      <w:r w:rsidRPr="000250C9">
        <w:rPr>
          <w:rStyle w:val="Ttulo3Car"/>
        </w:rPr>
        <w:t>Inventario</w:t>
      </w:r>
      <w:r w:rsidRPr="003C154A">
        <w:rPr>
          <w:rStyle w:val="Ttulo3Car"/>
        </w:rPr>
        <w:t>.</w:t>
      </w:r>
      <w:r>
        <w:t xml:space="preserve"> </w:t>
      </w:r>
      <w:r w:rsidR="000250C9">
        <w:t xml:space="preserve"> </w:t>
      </w:r>
      <w:r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Pr="005D3B8A"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7AF9C604" w14:textId="77777777" w:rsidR="00631F0C" w:rsidRPr="000250C9" w:rsidRDefault="00631F0C" w:rsidP="000250C9">
      <w:pPr>
        <w:pStyle w:val="Ttulo2"/>
      </w:pPr>
      <w:bookmarkStart w:id="12" w:name="_Toc494876164"/>
      <w:r w:rsidRPr="000250C9">
        <w:t>Proyecto de Pre factibilidad</w:t>
      </w:r>
      <w:bookmarkEnd w:id="12"/>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lastRenderedPageBreak/>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77777777" w:rsidR="00631F0C" w:rsidRPr="000250C9" w:rsidRDefault="00631F0C" w:rsidP="00631F0C">
      <w:pPr>
        <w:ind w:left="-11" w:firstLine="719"/>
        <w:jc w:val="both"/>
      </w:pPr>
      <w:r w:rsidRPr="000250C9">
        <w:rPr>
          <w:rStyle w:val="Ttulo3Car"/>
        </w:rPr>
        <w:t>Viabilidad Comercial</w:t>
      </w:r>
      <w:r w:rsidRPr="00696926">
        <w:rPr>
          <w:rStyle w:val="Ttulo3Car"/>
        </w:rPr>
        <w:t>.</w:t>
      </w:r>
      <w:r w:rsidRPr="00BA158F">
        <w:t xml:space="preserve"> </w:t>
      </w:r>
      <w:r w:rsidR="003E1A18">
        <w:t>Esta i</w:t>
      </w:r>
      <w:r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77777777" w:rsidR="00631F0C" w:rsidRPr="000250C9" w:rsidRDefault="00631F0C" w:rsidP="00631F0C">
      <w:pPr>
        <w:ind w:left="-11" w:firstLine="719"/>
        <w:jc w:val="both"/>
      </w:pPr>
      <w:r w:rsidRPr="000250C9">
        <w:rPr>
          <w:rStyle w:val="Ttulo3Car"/>
        </w:rPr>
        <w:t>Viabilidad Técnica</w:t>
      </w:r>
      <w:r w:rsidRPr="00696926">
        <w:rPr>
          <w:rStyle w:val="Ttulo3Car"/>
        </w:rPr>
        <w:t>.</w:t>
      </w:r>
      <w:r>
        <w:t xml:space="preserve"> </w:t>
      </w:r>
      <w:r w:rsidR="003E1A18">
        <w:t>Esta a</w:t>
      </w:r>
      <w:r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77777777" w:rsidR="00631F0C" w:rsidRPr="000250C9" w:rsidRDefault="00631F0C" w:rsidP="00631F0C">
      <w:pPr>
        <w:ind w:left="-11" w:firstLine="719"/>
        <w:jc w:val="both"/>
      </w:pPr>
      <w:r w:rsidRPr="000250C9">
        <w:rPr>
          <w:rStyle w:val="Ttulo3Car"/>
        </w:rPr>
        <w:t>Viabilidad Organizacional</w:t>
      </w:r>
      <w:r w:rsidRPr="00696926">
        <w:t>.</w:t>
      </w:r>
      <w:r w:rsidR="003E1A18">
        <w:t xml:space="preserve"> Esta es la</w:t>
      </w:r>
      <w:r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77777777" w:rsidR="00631F0C" w:rsidRPr="007F56BA" w:rsidRDefault="00631F0C" w:rsidP="000250C9">
      <w:pPr>
        <w:ind w:left="-11" w:firstLine="719"/>
        <w:jc w:val="both"/>
      </w:pPr>
      <w:r w:rsidRPr="000250C9">
        <w:rPr>
          <w:rStyle w:val="Ttulo3Car"/>
        </w:rPr>
        <w:t>Viabilidad Financiera.</w:t>
      </w:r>
      <w:r>
        <w:t xml:space="preserve"> </w:t>
      </w:r>
      <w:r w:rsidRPr="000250C9">
        <w:t xml:space="preserve">Este estudio determina, en último término, su aprobación o rechazo. Éste mide la rentabilidad que retorna la inversión, todo medido con bases monetarias. </w:t>
      </w:r>
      <w:sdt>
        <w:sdtPr>
          <w:id w:val="164910962"/>
          <w:citation/>
        </w:sdtPr>
        <w:sdtEndPr/>
        <w:sdtContent>
          <w:r w:rsidRPr="000250C9">
            <w:fldChar w:fldCharType="begin"/>
          </w:r>
          <w:r w:rsidRPr="000250C9">
            <w:instrText xml:space="preserve">CITATION Nas \p 19-21 \t  \l 3082 </w:instrText>
          </w:r>
          <w:r w:rsidRPr="000250C9">
            <w:fldChar w:fldCharType="separate"/>
          </w:r>
          <w:r w:rsidR="00D7460E">
            <w:rPr>
              <w:noProof/>
            </w:rPr>
            <w:t>(Sapag, 2008, págs. 19-21)</w:t>
          </w:r>
          <w:r w:rsidRPr="000250C9">
            <w:fldChar w:fldCharType="end"/>
          </w:r>
        </w:sdtContent>
      </w:sdt>
    </w:p>
    <w:p w14:paraId="09C23145" w14:textId="77777777" w:rsidR="00631F0C" w:rsidRPr="00BA158F" w:rsidRDefault="00631F0C" w:rsidP="008B7561">
      <w:pPr>
        <w:pStyle w:val="Ttulo3"/>
      </w:pPr>
      <w:r w:rsidRPr="00BA158F">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 xml:space="preserve">eterminación y cuantificación de la demanda y la oferta, el análisis de los precios </w:t>
      </w:r>
      <w:r w:rsidR="00631F0C" w:rsidRPr="000250C9">
        <w:lastRenderedPageBreak/>
        <w:t>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lastRenderedPageBreak/>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instrText xml:space="preserve">CITATION Nas \p 27-28 \t  \l 3082 </w:instrText>
          </w:r>
          <w:r>
            <w:fldChar w:fldCharType="separate"/>
          </w:r>
          <w:r w:rsidR="00D7460E">
            <w:rPr>
              <w:noProof/>
            </w:rPr>
            <w:t xml:space="preserve"> (Sapag,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lastRenderedPageBreak/>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EndPr/>
        <w:sdtContent>
          <w:r>
            <w:fldChar w:fldCharType="begin"/>
          </w:r>
          <w:r>
            <w:instrText xml:space="preserve">CITATION Urb13 \p 27-28 \l 3082 </w:instrText>
          </w:r>
          <w:r>
            <w:fldChar w:fldCharType="separate"/>
          </w:r>
          <w:r w:rsidR="00D7460E">
            <w:rPr>
              <w:noProof/>
            </w:rPr>
            <w:t xml:space="preserve"> (Urbina, Evaluación de proyectos, 2013, págs. 27-28)</w:t>
          </w:r>
          <w:r>
            <w:fldChar w:fldCharType="end"/>
          </w:r>
        </w:sdtContent>
      </w:sdt>
    </w:p>
    <w:p w14:paraId="4F8186BD" w14:textId="77777777" w:rsidR="00C22DED" w:rsidRDefault="003C227B" w:rsidP="00C22DED">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EndPr/>
        <w:sdtContent>
          <w:r w:rsidRPr="00FA28AF">
            <w:fldChar w:fldCharType="begin"/>
          </w:r>
          <w:r>
            <w:instrText xml:space="preserve">CITATION Urb13 \p 61 \t  \l 3082 </w:instrText>
          </w:r>
          <w:r w:rsidRPr="00FA28AF">
            <w:fldChar w:fldCharType="separate"/>
          </w:r>
          <w:r w:rsidR="00D7460E">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lastRenderedPageBreak/>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EndPr/>
        <w:sdtContent>
          <w:r>
            <w:fldChar w:fldCharType="begin"/>
          </w:r>
          <w:r>
            <w:instrText xml:space="preserve">CITATION Urb13 \p 63 \l 3082 </w:instrText>
          </w:r>
          <w:r>
            <w:fldChar w:fldCharType="separate"/>
          </w:r>
          <w:r w:rsidR="00D7460E">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EndPr/>
        <w:sdtContent>
          <w:r w:rsidRPr="002C41CD">
            <w:rPr>
              <w:b/>
            </w:rPr>
            <w:fldChar w:fldCharType="begin"/>
          </w:r>
          <w:r>
            <w:instrText xml:space="preserve">CITATION Urb13 \p 28 \t  \l 3082 </w:instrText>
          </w:r>
          <w:r w:rsidRPr="002C41CD">
            <w:rPr>
              <w:b/>
            </w:rPr>
            <w:fldChar w:fldCharType="separate"/>
          </w:r>
          <w:r w:rsidR="00D7460E">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 xml:space="preserve">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w:t>
      </w:r>
      <w:r>
        <w:lastRenderedPageBreak/>
        <w:t>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t>La oferta según</w:t>
      </w:r>
      <w:r w:rsidR="00631F0C">
        <w:t xml:space="preserve"> </w:t>
      </w:r>
      <w:sdt>
        <w:sdtPr>
          <w:id w:val="270905265"/>
          <w:citation/>
        </w:sdtPr>
        <w:sdtEndPr/>
        <w:sdtContent>
          <w:r>
            <w:fldChar w:fldCharType="begin"/>
          </w:r>
          <w:r>
            <w:instrText xml:space="preserve">CITATION Nas \p 54-58 \t  \l 3082 </w:instrText>
          </w:r>
          <w:r>
            <w:fldChar w:fldCharType="separate"/>
          </w:r>
          <w:r w:rsidR="00D7460E">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instrText xml:space="preserve">CITATION Urb13 \p 65 \t  \l 3082 </w:instrText>
          </w:r>
          <w:r w:rsidRPr="002C41CD">
            <w:fldChar w:fldCharType="separate"/>
          </w:r>
          <w:r w:rsidR="00D7460E">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lastRenderedPageBreak/>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7E488E">
            <w:instrText xml:space="preserve">CITATION Jav \l 3082 </w:instrText>
          </w:r>
          <w:r w:rsidR="00631F0C" w:rsidRPr="007F56BA">
            <w:fldChar w:fldCharType="separate"/>
          </w:r>
          <w:r w:rsidR="00D7460E">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 xml:space="preserve">Si el producto debe entrar a competir con otros ya establecidos, será necesario realizar estudios para determinar el grado de lealtad a una marca o lugar de venta, los efectos de las </w:t>
      </w:r>
      <w:r>
        <w:lastRenderedPageBreak/>
        <w:t>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77777777" w:rsidR="00631F0C" w:rsidRDefault="00631F0C" w:rsidP="00914C69">
      <w:pPr>
        <w:pStyle w:val="Ttulo3"/>
      </w:pPr>
      <w:r>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fldSimple w:instr=" SEQ Ilustración \* ARABIC ">
        <w:r w:rsidR="001A02D1">
          <w:rPr>
            <w:noProof/>
          </w:rPr>
          <w:t>1</w:t>
        </w:r>
      </w:fldSimple>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 xml:space="preserve">se precisará, la que a su vez permitirá hacer una dimensión de las </w:t>
      </w:r>
      <w:r>
        <w:lastRenderedPageBreak/>
        <w:t>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65D88025" w:rsidR="002C41CD" w:rsidRDefault="00631F0C" w:rsidP="0085274E">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sdt>
        <w:sdtPr>
          <w:id w:val="417442229"/>
          <w:citation/>
        </w:sdtPr>
        <w:sdtEndPr/>
        <w:sdtContent>
          <w:r w:rsidRPr="004E4E63">
            <w:fldChar w:fldCharType="begin"/>
          </w:r>
          <w:r w:rsidRPr="004E4E63">
            <w:instrText xml:space="preserve">CITATION MarcadorDePosición1 \p 25-26 \t  \l 3082 </w:instrText>
          </w:r>
          <w:r w:rsidRPr="004E4E63">
            <w:fldChar w:fldCharType="separate"/>
          </w:r>
          <w:r w:rsidR="00D7460E">
            <w:rPr>
              <w:b/>
              <w:bCs/>
              <w:noProof/>
            </w:rPr>
            <w:t>Fuente especificada no válida.</w:t>
          </w:r>
          <w:r w:rsidRPr="004E4E63">
            <w:fldChar w:fldCharType="end"/>
          </w:r>
        </w:sdtContent>
      </w:sdt>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fldSimple w:instr=" SEQ Ilustración \* ARABIC ">
        <w:r w:rsidR="001A02D1">
          <w:rPr>
            <w:noProof/>
          </w:rPr>
          <w:t>2</w:t>
        </w:r>
      </w:fldSimple>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AD0F74">
            <w:instrText xml:space="preserve">CITATION Urb13 \t  \l 3082 </w:instrText>
          </w:r>
          <w:r w:rsidR="001916CD">
            <w:fldChar w:fldCharType="separate"/>
          </w:r>
          <w:r w:rsidR="00D7460E">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 xml:space="preserve">cio de todas ellas. La tendencia actual es formar las cadenas colaborativas, que son cadenas con un </w:t>
      </w:r>
      <w:r w:rsidRPr="00EC0327">
        <w:lastRenderedPageBreak/>
        <w:t>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lastRenderedPageBreak/>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w:t>
      </w:r>
      <w:r w:rsidR="00345E5F">
        <w:lastRenderedPageBreak/>
        <w:t xml:space="preserve">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fldSimple w:instr=" SEQ Ilustración \* ARABIC ">
        <w:r>
          <w:rPr>
            <w:noProof/>
          </w:rPr>
          <w:t>3</w:t>
        </w:r>
      </w:fldSimple>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77777777" w:rsidR="001A02D1" w:rsidRDefault="0021215C" w:rsidP="001A02D1">
      <w:pPr>
        <w:pStyle w:val="Ttulo3"/>
      </w:pPr>
      <w:r>
        <w:t>Estudio</w:t>
      </w:r>
      <w:r w:rsidRPr="00914C69">
        <w:t xml:space="preserve"> </w:t>
      </w:r>
      <w:r>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fldSimple w:instr=" SEQ Ilustración \* ARABIC ">
        <w:r>
          <w:rPr>
            <w:noProof/>
          </w:rPr>
          <w:t>4</w:t>
        </w:r>
      </w:fldSimple>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 xml:space="preserve">echa antecedente, como los costos totales, el capital de trabajo y el costo de capital, </w:t>
      </w:r>
      <w:r w:rsidRPr="0006188E">
        <w:lastRenderedPageBreak/>
        <w:t>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001CBE0E" w:rsidR="005B6232" w:rsidRDefault="00E9703A" w:rsidP="00E9703A">
      <w:pPr>
        <w:jc w:val="both"/>
        <w:rPr>
          <w:lang w:val="es-ES_tradnl"/>
        </w:rPr>
      </w:pPr>
      <w:r w:rsidRPr="00E9703A">
        <w:rPr>
          <w:rStyle w:val="Ttulo4Car"/>
        </w:rPr>
        <w:t>Costos</w:t>
      </w: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 xml:space="preserve">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w:t>
      </w:r>
      <w:r>
        <w:lastRenderedPageBreak/>
        <w:t>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 xml:space="preserve">icación del mercado; las cuotas y el porcentaje de participación de la </w:t>
      </w:r>
      <w:r w:rsidRPr="00D43C25">
        <w:rPr>
          <w:lang w:val="es-ES_tradnl"/>
        </w:rPr>
        <w:lastRenderedPageBreak/>
        <w:t>competencia en el mercado; la adecuación de la publicidad que realiza la empresa; la tendencia de las ventas, etc.</w:t>
      </w:r>
    </w:p>
    <w:p w14:paraId="3F6F9140" w14:textId="6A7B8E96" w:rsidR="00D43C25" w:rsidRPr="00AD1F5B"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08D3AACF" w14:textId="77777777" w:rsidR="00D7460E" w:rsidRDefault="00631F0C" w:rsidP="00D7460E">
      <w:pPr>
        <w:jc w:val="both"/>
      </w:pPr>
      <w:r w:rsidRPr="00D7460E">
        <w:rPr>
          <w:rStyle w:val="Ttulo4Car"/>
        </w:rPr>
        <w:t>Capital de trabajo</w:t>
      </w:r>
      <w:r>
        <w:t>.</w:t>
      </w:r>
      <w:r w:rsidR="00E9703A">
        <w:t xml:space="preserve"> </w:t>
      </w:r>
      <w:r w:rsidR="00D7460E">
        <w:t xml:space="preserve">Según </w:t>
      </w:r>
      <w:sdt>
        <w:sdtPr>
          <w:id w:val="1238445979"/>
          <w:citation/>
        </w:sdtPr>
        <w:sdtEndPr/>
        <w:sdtContent>
          <w:r w:rsidR="00D7460E">
            <w:fldChar w:fldCharType="begin"/>
          </w:r>
          <w:r w:rsidR="00D7460E">
            <w:instrText xml:space="preserve">CITATION Urb13 \t  \l 3082 </w:instrText>
          </w:r>
          <w:r w:rsidR="00D7460E">
            <w:fldChar w:fldCharType="separate"/>
          </w:r>
          <w:r w:rsidR="00D7460E">
            <w:rPr>
              <w:noProof/>
            </w:rPr>
            <w:t>(Urbina, 2013)</w:t>
          </w:r>
          <w:r w:rsidR="00D7460E">
            <w:fldChar w:fldCharType="end"/>
          </w:r>
        </w:sdtContent>
      </w:sdt>
      <w:r w:rsidR="00D7460E">
        <w:t xml:space="preserve"> “</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7777777" w:rsidR="00005158" w:rsidRDefault="00E9703A" w:rsidP="00005158">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E17776">
      <w:pPr>
        <w:jc w:val="both"/>
      </w:pPr>
      <w:r w:rsidRPr="00005158">
        <w:t xml:space="preserve">El </w:t>
      </w:r>
      <w:r w:rsidRPr="00005158">
        <w:t>análisis</w:t>
      </w:r>
      <w:r w:rsidRPr="00005158">
        <w:t xml:space="preserve"> del punto de equilibrio</w:t>
      </w:r>
      <w:r w:rsidRPr="00005158">
        <w:t xml:space="preserve"> es una técnica a tener en cuenta cuando se quiere</w:t>
      </w:r>
      <w:r w:rsidRPr="00005158">
        <w:t xml:space="preserve"> estudiar las relaciones entre los costos </w:t>
      </w:r>
      <w:r w:rsidRPr="00005158">
        <w:t>fijos, los</w:t>
      </w:r>
      <w:r w:rsidRPr="00005158">
        <w:t xml:space="preserve"> costos variables y los ingresos</w:t>
      </w:r>
      <w:r w:rsidRPr="00005158">
        <w:t>.</w:t>
      </w:r>
      <w:r>
        <w:t xml:space="preserve"> </w:t>
      </w:r>
      <w:r w:rsidRPr="00005158">
        <w:rPr>
          <w:bCs/>
          <w:iCs/>
        </w:rPr>
        <w:t xml:space="preserve">Se entenderá como punto de equilibrio </w:t>
      </w:r>
      <w:r>
        <w:t>al</w:t>
      </w:r>
      <w:r w:rsidRPr="00005158">
        <w:t xml:space="preserve"> nivel de </w:t>
      </w:r>
      <w:r w:rsidRPr="00005158">
        <w:t>producción</w:t>
      </w:r>
      <w:r w:rsidRPr="00005158">
        <w:t xml:space="preserve"> en el que los ingresos por ventas son exactamente iguales a la suma de los </w:t>
      </w:r>
      <w:r w:rsidRPr="00005158">
        <w:t xml:space="preserve">costos </w:t>
      </w:r>
      <w:r>
        <w:t>fi</w:t>
      </w:r>
      <w:r w:rsidRPr="00005158">
        <w:t>jos</w:t>
      </w:r>
      <w:r w:rsidRPr="00005158">
        <w:t xml:space="preserve"> y los variables.</w:t>
      </w:r>
    </w:p>
    <w:p w14:paraId="533E8EFE" w14:textId="77777777" w:rsidR="00E17776" w:rsidRDefault="00005158" w:rsidP="00E17776">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w:t>
      </w:r>
      <w:r w:rsidRPr="00E17776">
        <w:lastRenderedPageBreak/>
        <w:t>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E17776">
      <w:pPr>
        <w:jc w:val="both"/>
      </w:pPr>
      <w:r>
        <w:t>Otra de sus desventajas es lo infl</w:t>
      </w:r>
      <w:r w:rsidRPr="00E17776">
        <w:t xml:space="preserve">exible en el tiempo, esto es, el equilibrio se calcula con unos costos dados, pero si </w:t>
      </w:r>
      <w:r w:rsidRPr="00E17776">
        <w:t>éstos</w:t>
      </w:r>
      <w:r>
        <w:t xml:space="preserve"> </w:t>
      </w:r>
      <w:r w:rsidRPr="00E17776">
        <w:t xml:space="preserve">cambian, </w:t>
      </w:r>
      <w:r w:rsidRPr="00E17776">
        <w:t>también</w:t>
      </w:r>
      <w:r w:rsidRPr="00E17776">
        <w:t xml:space="preserve"> lo hace el punto de equilibrio. Con la </w:t>
      </w:r>
      <w:r w:rsidRPr="00E17776">
        <w:t>situación</w:t>
      </w:r>
      <w:r w:rsidRPr="00E17776">
        <w:t xml:space="preserve"> tan inestable que existe en muchos </w:t>
      </w:r>
      <w:r w:rsidRPr="00E17776">
        <w:t>países</w:t>
      </w:r>
      <w:r w:rsidRPr="00E17776">
        <w:t xml:space="preserve">, esta herramienta se vuelve poco </w:t>
      </w:r>
      <w:r w:rsidRPr="00E17776">
        <w:t>práctica</w:t>
      </w:r>
      <w:r w:rsidRPr="00E17776">
        <w:t xml:space="preserve"> </w:t>
      </w:r>
      <w:r w:rsidRPr="00E17776">
        <w:t>para fines</w:t>
      </w:r>
      <w:r w:rsidRPr="00E17776">
        <w:t xml:space="preserve"> de </w:t>
      </w:r>
      <w:r w:rsidRPr="00E17776">
        <w:t>evaluación</w:t>
      </w:r>
      <w:r w:rsidRPr="00E17776">
        <w:t>.</w:t>
      </w:r>
    </w:p>
    <w:p w14:paraId="74526591" w14:textId="1E28AE3A" w:rsidR="00005158" w:rsidRPr="00E17776" w:rsidRDefault="00E17776" w:rsidP="00E17776">
      <w:pPr>
        <w:jc w:val="both"/>
        <w:rPr>
          <w:lang w:val="es-ES_tradnl"/>
        </w:rPr>
      </w:pPr>
      <w:r>
        <w:rPr>
          <w:lang w:val="es-ES_tradnl"/>
        </w:rPr>
        <w:t>Sin embargo, la utilidad general que se le da es que es posible calcular con mucha facilidad el punto mínimo de producción al que debe operarse para no incurrir en pérdidas, sin que esto signi</w:t>
      </w:r>
      <w:r>
        <w:rPr>
          <w:lang w:val="es-ES_tradnl"/>
        </w:rPr>
        <w:t>fique que, aunque haya ganancias éstas sean sufi</w:t>
      </w:r>
      <w:r>
        <w:rPr>
          <w:lang w:val="es-ES_tradnl"/>
        </w:rPr>
        <w:t>cientes para hacer rentable el proyecto. También sirve en el caso de una empresa que elabora una gran cantidad de productos y que puede fabricar otros sin inversión adicional</w:t>
      </w:r>
      <w:r>
        <w:rPr>
          <w:lang w:val="es-ES_tradnl"/>
        </w:rPr>
        <w:t>.</w:t>
      </w:r>
      <w:r>
        <w:rPr>
          <w:lang w:val="es-ES_tradnl"/>
        </w:rPr>
        <w:t xml:space="preserve"> </w:t>
      </w:r>
    </w:p>
    <w:p w14:paraId="4FFD8589" w14:textId="77777777" w:rsidR="00914C69" w:rsidRDefault="00631F0C" w:rsidP="00914C69">
      <w:pPr>
        <w:pStyle w:val="Ttulo4"/>
      </w:pPr>
      <w:bookmarkStart w:id="13" w:name="_GoBack"/>
      <w:bookmarkEnd w:id="13"/>
      <w:r w:rsidRPr="008160BD">
        <w:t>Gastos</w:t>
      </w:r>
      <w:r>
        <w:t>.</w:t>
      </w:r>
    </w:p>
    <w:p w14:paraId="4BF8C052" w14:textId="77777777" w:rsidR="00914C69" w:rsidRDefault="00631F0C" w:rsidP="00914C69">
      <w:pPr>
        <w:pStyle w:val="Ttulo4"/>
      </w:pPr>
      <w:r w:rsidRPr="008160BD">
        <w:t>Estados financieros</w:t>
      </w:r>
      <w:r>
        <w:t>.</w:t>
      </w:r>
    </w:p>
    <w:p w14:paraId="48859B3B" w14:textId="77777777" w:rsidR="0021215C" w:rsidRPr="0021215C" w:rsidRDefault="0021215C" w:rsidP="0021215C"/>
    <w:p w14:paraId="20F6E4AE" w14:textId="00B77493" w:rsidR="00914C69" w:rsidRDefault="0021215C" w:rsidP="0021215C">
      <w:pPr>
        <w:pStyle w:val="Ttulo3"/>
      </w:pPr>
      <w:r>
        <w:t>Evaluación económica</w:t>
      </w:r>
    </w:p>
    <w:p w14:paraId="3AAFA75A" w14:textId="77777777" w:rsidR="00914C69" w:rsidRDefault="00631F0C" w:rsidP="00914C69">
      <w:pPr>
        <w:pStyle w:val="Ttulo4"/>
      </w:pPr>
      <w:r w:rsidRPr="008160BD">
        <w:t>Tasa interna de rendimiento</w:t>
      </w:r>
      <w:r>
        <w:t>.</w:t>
      </w:r>
    </w:p>
    <w:p w14:paraId="7FB3EDC0" w14:textId="77777777" w:rsidR="00914C69" w:rsidRDefault="00631F0C" w:rsidP="00914C69">
      <w:pPr>
        <w:pStyle w:val="Ttulo4"/>
      </w:pPr>
      <w:r w:rsidRPr="008160BD">
        <w:t>Valor presente neto</w:t>
      </w:r>
      <w:r>
        <w:t>.</w:t>
      </w:r>
    </w:p>
    <w:p w14:paraId="34B4D896" w14:textId="77777777" w:rsidR="00914C69" w:rsidRDefault="00631F0C" w:rsidP="00914C69">
      <w:pPr>
        <w:pStyle w:val="Ttulo4"/>
      </w:pPr>
      <w:r w:rsidRPr="008160BD">
        <w:t>Relación beneficio costo</w:t>
      </w:r>
      <w:r>
        <w:t>.</w:t>
      </w:r>
    </w:p>
    <w:p w14:paraId="1C9E817E" w14:textId="45F7A519" w:rsidR="0021215C" w:rsidRDefault="00631F0C" w:rsidP="0021215C">
      <w:pPr>
        <w:pStyle w:val="Ttulo4"/>
      </w:pPr>
      <w:r w:rsidRPr="008160BD">
        <w:t>Periodo de recuperación</w:t>
      </w:r>
      <w:r>
        <w:t>.</w:t>
      </w:r>
    </w:p>
    <w:p w14:paraId="65D04B38" w14:textId="02E27D90" w:rsidR="0021215C" w:rsidRDefault="0021215C" w:rsidP="0021215C">
      <w:pPr>
        <w:pStyle w:val="Ttulo4"/>
      </w:pPr>
      <w:r>
        <w:t>Ratios financieros</w:t>
      </w:r>
    </w:p>
    <w:p w14:paraId="48A10D89" w14:textId="77777777" w:rsidR="0021215C" w:rsidRPr="0021215C" w:rsidRDefault="0021215C" w:rsidP="0021215C"/>
    <w:p w14:paraId="18FFCAF3" w14:textId="281991D0" w:rsidR="0021215C" w:rsidRPr="0021215C" w:rsidRDefault="00631F0C" w:rsidP="0021215C">
      <w:pPr>
        <w:pStyle w:val="Ttulo3"/>
      </w:pPr>
      <w:r w:rsidRPr="00914C69">
        <w:lastRenderedPageBreak/>
        <w:t>Análisis de Riesgo</w:t>
      </w:r>
    </w:p>
    <w:p w14:paraId="233668EA" w14:textId="77777777" w:rsidR="00631F0C" w:rsidRPr="00914C69" w:rsidRDefault="00631F0C" w:rsidP="00631F0C">
      <w:r w:rsidRPr="00914C69">
        <w:rPr>
          <w:rStyle w:val="Ttulo4Car"/>
        </w:rPr>
        <w:t>Concepto</w:t>
      </w:r>
      <w:r>
        <w:t xml:space="preserve">. </w:t>
      </w:r>
      <w:r w:rsidRPr="00914C69">
        <w:t>Determina con precisión cuál es el nivel mínimo de ventas que siempre se debe tener.</w:t>
      </w:r>
    </w:p>
    <w:p w14:paraId="79639DF0" w14:textId="77777777" w:rsidR="00631F0C" w:rsidRDefault="00631F0C" w:rsidP="00914C69">
      <w:pPr>
        <w:jc w:val="both"/>
      </w:pPr>
      <w:r w:rsidRPr="00914C69">
        <w:rPr>
          <w:rStyle w:val="Ttulo4Car"/>
        </w:rPr>
        <w:t>Administración del riesgo</w:t>
      </w:r>
      <w:r w:rsidRPr="00914C69">
        <w:t xml:space="preserve">. </w:t>
      </w:r>
      <w:r w:rsidR="00914C69" w:rsidRPr="00914C69">
        <w:t xml:space="preserve"> </w:t>
      </w:r>
      <w:r w:rsidRPr="00914C69">
        <w:t>Ante una disminución de ventas, aunque lenta pero sostenida, se puede calcular de cuánto tiempo se dispone para administrar ese riesgo.</w:t>
      </w:r>
    </w:p>
    <w:p w14:paraId="7DAF0495" w14:textId="77777777" w:rsidR="00631F0C" w:rsidRDefault="00631F0C" w:rsidP="00914C69">
      <w:pPr>
        <w:jc w:val="both"/>
      </w:pPr>
      <w:r w:rsidRPr="00914C69">
        <w:rPr>
          <w:rStyle w:val="Ttulo4Car"/>
        </w:rPr>
        <w:t>Riesgo de mercado</w:t>
      </w:r>
      <w:r>
        <w:rPr>
          <w:rStyle w:val="Ttulo4Car"/>
        </w:rPr>
        <w:t>.</w:t>
      </w:r>
      <w:r>
        <w:t xml:space="preserve"> El análisis de riesgo de un proyecto se refiere a la posibilidad de que la empresa, una vez instalada, vaya a la bancarrota en poco tiempo. Sin embargo, existen varios tipos de riesgo para la empresa, los principales son: riesgo tecnológico, riesgo de mercado y riesgo financiero. El riesgo de mercado comprende circunstancias que quedan fuera del control de la empresa, por eso, también se le llama riesgo no sistemático, existen dos tipos de escenarios, el optimista y el pesimista.</w:t>
      </w:r>
    </w:p>
    <w:p w14:paraId="3E4FC6D5" w14:textId="77777777" w:rsidR="00631F0C" w:rsidRDefault="00631F0C" w:rsidP="00914C69">
      <w:pPr>
        <w:jc w:val="both"/>
      </w:pPr>
      <w:r>
        <w:t>El escenario pesimista es el que interesa para analizar el riesgo de mercado, ya que en el optimista el mercado no es preocupación para la nueva empresa.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77777777" w:rsidR="00631F0C" w:rsidRDefault="00631F0C" w:rsidP="00914C69">
      <w:pPr>
        <w:jc w:val="both"/>
      </w:pPr>
      <w:r>
        <w:t>En resumen, se debe invertir en cualquier tipo de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w:t>
      </w:r>
      <w:r>
        <w:lastRenderedPageBreak/>
        <w:t xml:space="preserve">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77777777" w:rsidR="00631F0C" w:rsidRDefault="00631F0C" w:rsidP="00914C69">
      <w:pPr>
        <w:jc w:val="both"/>
      </w:pPr>
      <w:r w:rsidRPr="00114951">
        <w:t>El punto importante para prevenir y nulificar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77777777" w:rsidR="00631F0C" w:rsidRPr="00114951" w:rsidRDefault="00631F0C" w:rsidP="00914C69">
      <w:pPr>
        <w:jc w:val="both"/>
      </w:pPr>
      <w:r w:rsidRPr="00114951">
        <w:t xml:space="preserve">La observación continua de estos indicadores muestra claramente signos de una economía fuerte, de la inminencia de una devaluación, del pronto aumento de las tasas de interés, etcétera. Una empresa no se puede manejar exitosamente si se desconoce lo elemental </w:t>
      </w:r>
      <w:r w:rsidRPr="00114951">
        <w:lastRenderedPageBreak/>
        <w:t>de la propia empresa y del medio que la rodea. El conocimiento y la preparación académica de los propietarios o administradores es fundamental para el éxito de los proyectos y de las empresas que ya están en funcionamiento.</w:t>
      </w:r>
      <w:sdt>
        <w:sdtPr>
          <w:id w:val="1994606396"/>
          <w:citation/>
        </w:sdtPr>
        <w:sdtEndPr/>
        <w:sdtContent>
          <w:r>
            <w:fldChar w:fldCharType="begin"/>
          </w:r>
          <w:r>
            <w:instrText xml:space="preserve">CITATION Urb13 \p 227-241 \l 3082 </w:instrText>
          </w:r>
          <w:r>
            <w:fldChar w:fldCharType="separate"/>
          </w:r>
          <w:r w:rsidR="00D7460E">
            <w:rPr>
              <w:noProof/>
            </w:rPr>
            <w:t xml:space="preserve"> (Urbina, Evaluación de proyectos, 2013, págs. 227-241)</w:t>
          </w:r>
          <w:r>
            <w:fldChar w:fldCharType="end"/>
          </w:r>
        </w:sdtContent>
      </w:sdt>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D9D8A79" w14:textId="77777777" w:rsidR="00631F0C" w:rsidRDefault="00631F0C" w:rsidP="00631F0C">
      <w:pPr>
        <w:widowControl w:val="0"/>
        <w:autoSpaceDE w:val="0"/>
        <w:autoSpaceDN w:val="0"/>
        <w:adjustRightInd w:val="0"/>
        <w:ind w:right="136"/>
        <w:jc w:val="both"/>
        <w:rPr>
          <w:b/>
          <w:bCs/>
          <w:color w:val="000000"/>
        </w:rPr>
      </w:pPr>
    </w:p>
    <w:p w14:paraId="6FD5FD0D" w14:textId="77777777" w:rsidR="00631F0C" w:rsidRDefault="00631F0C" w:rsidP="00631F0C">
      <w:pPr>
        <w:widowControl w:val="0"/>
        <w:autoSpaceDE w:val="0"/>
        <w:autoSpaceDN w:val="0"/>
        <w:adjustRightInd w:val="0"/>
        <w:ind w:right="136"/>
        <w:jc w:val="both"/>
        <w:rPr>
          <w:b/>
          <w:bCs/>
          <w:color w:val="000000"/>
        </w:rPr>
      </w:pPr>
      <w:r>
        <w:rPr>
          <w:b/>
          <w:bCs/>
          <w:color w:val="000000"/>
        </w:rPr>
        <w:t>---------------------------------------ESTUDIO DE RIESGOS---------------------------------------</w:t>
      </w:r>
    </w:p>
    <w:p w14:paraId="7F59C54B" w14:textId="77777777" w:rsidR="00631F0C" w:rsidRDefault="00631F0C" w:rsidP="00631F0C">
      <w:pPr>
        <w:widowControl w:val="0"/>
        <w:autoSpaceDE w:val="0"/>
        <w:autoSpaceDN w:val="0"/>
        <w:adjustRightInd w:val="0"/>
        <w:ind w:right="136"/>
        <w:jc w:val="both"/>
        <w:rPr>
          <w:b/>
          <w:bCs/>
          <w:color w:val="000000"/>
        </w:rPr>
      </w:pPr>
    </w:p>
    <w:p w14:paraId="31F2CBE7" w14:textId="77777777" w:rsidR="00631F0C" w:rsidRDefault="00631F0C" w:rsidP="00631F0C">
      <w:pPr>
        <w:widowControl w:val="0"/>
        <w:autoSpaceDE w:val="0"/>
        <w:autoSpaceDN w:val="0"/>
        <w:adjustRightInd w:val="0"/>
        <w:ind w:right="136"/>
        <w:jc w:val="both"/>
        <w:rPr>
          <w:b/>
          <w:bCs/>
          <w:color w:val="000000"/>
        </w:rPr>
      </w:pPr>
    </w:p>
    <w:p w14:paraId="4A8527EC" w14:textId="77777777" w:rsidR="00631F0C" w:rsidRDefault="00631F0C" w:rsidP="00631F0C">
      <w:pPr>
        <w:widowControl w:val="0"/>
        <w:autoSpaceDE w:val="0"/>
        <w:autoSpaceDN w:val="0"/>
        <w:adjustRightInd w:val="0"/>
        <w:ind w:right="136"/>
        <w:jc w:val="both"/>
        <w:rPr>
          <w:b/>
          <w:bCs/>
          <w:color w:val="000000"/>
        </w:rPr>
      </w:pPr>
    </w:p>
    <w:p w14:paraId="71595BC1"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lastRenderedPageBreak/>
        <w:t xml:space="preserve">Tabla </w:t>
      </w:r>
      <w:fldSimple w:instr=" SEQ Tabla \* ARABIC ">
        <w:r>
          <w:rPr>
            <w:noProof/>
          </w:rPr>
          <w:t>1</w:t>
        </w:r>
      </w:fldSimple>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4" w:name="_MON_1568474853"/>
          <w:bookmarkEnd w:id="14"/>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5B784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8817649"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77777777" w:rsidR="00B964A1" w:rsidRDefault="00B964A1">
          <w:pPr>
            <w:pStyle w:val="Ttulo1"/>
          </w:pPr>
          <w:r>
            <w:t>Referencias</w:t>
          </w:r>
        </w:p>
        <w:sdt>
          <w:sdtPr>
            <w:id w:val="-295756875"/>
            <w:bibliography/>
          </w:sdtPr>
          <w:sdtEndPr/>
          <w:sdtContent>
            <w:p w14:paraId="72E50F93" w14:textId="77777777" w:rsidR="00D7460E" w:rsidRDefault="00B964A1" w:rsidP="00D7460E">
              <w:pPr>
                <w:pStyle w:val="Bibliografa"/>
                <w:rPr>
                  <w:noProof/>
                </w:rPr>
              </w:pPr>
              <w:r>
                <w:fldChar w:fldCharType="begin"/>
              </w:r>
              <w:r>
                <w:instrText>BIBLIOGRAPHY</w:instrText>
              </w:r>
              <w:r>
                <w:fldChar w:fldCharType="separate"/>
              </w:r>
              <w:r w:rsidR="00D7460E">
                <w:rPr>
                  <w:noProof/>
                </w:rPr>
                <w:t xml:space="preserve">Apellidos, n. s. (Año). Título del artículo. </w:t>
              </w:r>
              <w:r w:rsidR="00D7460E">
                <w:rPr>
                  <w:i/>
                  <w:iCs/>
                  <w:noProof/>
                </w:rPr>
                <w:t>Título del diario</w:t>
              </w:r>
              <w:r w:rsidR="00D7460E">
                <w:rPr>
                  <w:noProof/>
                </w:rPr>
                <w:t>, Páginas desde - hasta.</w:t>
              </w:r>
            </w:p>
            <w:p w14:paraId="58936134" w14:textId="77777777" w:rsidR="00D7460E" w:rsidRDefault="00D7460E" w:rsidP="00D7460E">
              <w:pPr>
                <w:pStyle w:val="Bibliografa"/>
                <w:rPr>
                  <w:noProof/>
                </w:rPr>
              </w:pPr>
              <w:r>
                <w:rPr>
                  <w:noProof/>
                </w:rPr>
                <w:t xml:space="preserve">Apellidos, n. s. (Año). </w:t>
              </w:r>
              <w:r>
                <w:rPr>
                  <w:i/>
                  <w:iCs/>
                  <w:noProof/>
                </w:rPr>
                <w:t>Título del libro.</w:t>
              </w:r>
              <w:r>
                <w:rPr>
                  <w:noProof/>
                </w:rPr>
                <w:t xml:space="preserve"> Nombre de la ciudad: Nombre del editor.</w:t>
              </w:r>
            </w:p>
            <w:p w14:paraId="2904E9D3" w14:textId="77777777" w:rsidR="00D7460E" w:rsidRDefault="00D7460E" w:rsidP="00D7460E">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3C8B06A4" w14:textId="77777777" w:rsidR="00D7460E" w:rsidRDefault="00D7460E" w:rsidP="00D7460E">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3C8A83E4" w14:textId="77777777" w:rsidR="00D7460E" w:rsidRDefault="00D7460E" w:rsidP="00D7460E">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8F29227" w14:textId="77777777" w:rsidR="00D7460E" w:rsidRDefault="00D7460E" w:rsidP="00D7460E">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7CDDB137" w14:textId="77777777" w:rsidR="00D7460E" w:rsidRDefault="00D7460E" w:rsidP="00D7460E">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5FE47D05" w14:textId="77777777" w:rsidR="00D7460E" w:rsidRDefault="00D7460E" w:rsidP="00D7460E">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B9D1456" w14:textId="77777777" w:rsidR="00D7460E" w:rsidRDefault="00D7460E" w:rsidP="00D7460E">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34221A2F" w14:textId="77777777" w:rsidR="00D7460E" w:rsidRDefault="00D7460E" w:rsidP="00D7460E">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1B5348FB" w14:textId="77777777" w:rsidR="00D7460E" w:rsidRDefault="00D7460E" w:rsidP="00D7460E">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652378BB" w14:textId="77777777" w:rsidR="00D7460E" w:rsidRDefault="00D7460E" w:rsidP="00D7460E">
              <w:pPr>
                <w:pStyle w:val="Bibliografa"/>
                <w:rPr>
                  <w:noProof/>
                </w:rPr>
              </w:pPr>
              <w:r>
                <w:rPr>
                  <w:noProof/>
                </w:rPr>
                <w:lastRenderedPageBreak/>
                <w:t xml:space="preserve">Cosep. (2015). </w:t>
              </w:r>
              <w:r>
                <w:rPr>
                  <w:i/>
                  <w:iCs/>
                  <w:noProof/>
                </w:rPr>
                <w:t>Encuesta de empresas sostenible Nicaragua 2015.</w:t>
              </w:r>
              <w:r>
                <w:rPr>
                  <w:noProof/>
                </w:rPr>
                <w:t xml:space="preserve"> Managua.</w:t>
              </w:r>
            </w:p>
            <w:p w14:paraId="1CDB9CF1" w14:textId="77777777" w:rsidR="00D7460E" w:rsidRDefault="00D7460E" w:rsidP="00D7460E">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30207875" w14:textId="77777777" w:rsidR="00D7460E" w:rsidRDefault="00D7460E" w:rsidP="00D7460E">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68B9EF1A" w14:textId="77777777" w:rsidR="00D7460E" w:rsidRDefault="00D7460E" w:rsidP="00D7460E">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4016A70A" w14:textId="77777777" w:rsidR="00D7460E" w:rsidRDefault="00D7460E" w:rsidP="00D7460E">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4013085E" w14:textId="77777777" w:rsidR="00D7460E" w:rsidRDefault="00D7460E" w:rsidP="00D7460E">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D7460E">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77686" w14:textId="77777777" w:rsidR="00203949" w:rsidRDefault="00203949">
      <w:pPr>
        <w:spacing w:line="240" w:lineRule="auto"/>
      </w:pPr>
      <w:r>
        <w:separator/>
      </w:r>
    </w:p>
  </w:endnote>
  <w:endnote w:type="continuationSeparator" w:id="0">
    <w:p w14:paraId="799C6E09" w14:textId="77777777" w:rsidR="00203949" w:rsidRDefault="00203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7135A" w14:textId="77777777" w:rsidR="00203949" w:rsidRDefault="00203949">
      <w:pPr>
        <w:spacing w:line="240" w:lineRule="auto"/>
      </w:pPr>
      <w:r>
        <w:separator/>
      </w:r>
    </w:p>
  </w:footnote>
  <w:footnote w:type="continuationSeparator" w:id="0">
    <w:p w14:paraId="29A9444F" w14:textId="77777777" w:rsidR="00203949" w:rsidRDefault="002039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203949">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1916CD">
          <w:rPr>
            <w:rStyle w:val="Textoennegrita"/>
            <w:caps w:val="0"/>
          </w:rPr>
          <w:t>Proyecto De Pre-Factibilidad De Un Sistema De Facturación Y Control De Stock</w:t>
        </w:r>
      </w:sdtContent>
    </w:sdt>
    <w:r w:rsidR="001916CD">
      <w:rPr>
        <w:rStyle w:val="Textoennegrita"/>
        <w:caps w:val="0"/>
        <w:lang w:bidi="es-ES"/>
      </w:rPr>
      <w:t xml:space="preserve"> </w:t>
    </w:r>
    <w:r w:rsidR="001916CD">
      <w:rPr>
        <w:rStyle w:val="Textoennegrita"/>
        <w:lang w:bidi="es-ES"/>
      </w:rPr>
      <w:ptab w:relativeTo="margin" w:alignment="right" w:leader="none"/>
    </w:r>
    <w:r w:rsidR="001916CD">
      <w:rPr>
        <w:rStyle w:val="Textoennegrita"/>
        <w:lang w:bidi="es-ES"/>
      </w:rPr>
      <w:fldChar w:fldCharType="begin"/>
    </w:r>
    <w:r w:rsidR="001916CD">
      <w:rPr>
        <w:rStyle w:val="Textoennegrita"/>
        <w:lang w:bidi="es-ES"/>
      </w:rPr>
      <w:instrText xml:space="preserve"> PAGE   \* MERGEFORMAT </w:instrText>
    </w:r>
    <w:r w:rsidR="001916CD">
      <w:rPr>
        <w:rStyle w:val="Textoennegrita"/>
        <w:lang w:bidi="es-ES"/>
      </w:rPr>
      <w:fldChar w:fldCharType="separate"/>
    </w:r>
    <w:r w:rsidR="00765CE6">
      <w:rPr>
        <w:rStyle w:val="Textoennegrita"/>
        <w:noProof/>
        <w:lang w:bidi="es-ES"/>
      </w:rPr>
      <w:t>26</w:t>
    </w:r>
    <w:r w:rsidR="001916CD">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_tradnl" w:vendorID="64" w:dllVersion="4096"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23B01"/>
    <w:rsid w:val="000250C9"/>
    <w:rsid w:val="00027B19"/>
    <w:rsid w:val="00032625"/>
    <w:rsid w:val="00051A76"/>
    <w:rsid w:val="00054AB0"/>
    <w:rsid w:val="0006188E"/>
    <w:rsid w:val="000661F1"/>
    <w:rsid w:val="000E480D"/>
    <w:rsid w:val="000E7DD3"/>
    <w:rsid w:val="000F4487"/>
    <w:rsid w:val="0011463D"/>
    <w:rsid w:val="00155D33"/>
    <w:rsid w:val="001916CD"/>
    <w:rsid w:val="001A02D1"/>
    <w:rsid w:val="002011D4"/>
    <w:rsid w:val="00203949"/>
    <w:rsid w:val="0021215C"/>
    <w:rsid w:val="00217290"/>
    <w:rsid w:val="00282850"/>
    <w:rsid w:val="002B0404"/>
    <w:rsid w:val="002B611F"/>
    <w:rsid w:val="002C41CD"/>
    <w:rsid w:val="00317B94"/>
    <w:rsid w:val="003407D0"/>
    <w:rsid w:val="00345E5F"/>
    <w:rsid w:val="00372258"/>
    <w:rsid w:val="00373E2D"/>
    <w:rsid w:val="003A5C01"/>
    <w:rsid w:val="003C227B"/>
    <w:rsid w:val="003D38F6"/>
    <w:rsid w:val="003E1A18"/>
    <w:rsid w:val="005B6232"/>
    <w:rsid w:val="005D546B"/>
    <w:rsid w:val="005E0560"/>
    <w:rsid w:val="00631F0C"/>
    <w:rsid w:val="006336FD"/>
    <w:rsid w:val="006B5A88"/>
    <w:rsid w:val="00703807"/>
    <w:rsid w:val="00713E39"/>
    <w:rsid w:val="00750FE2"/>
    <w:rsid w:val="00752BC4"/>
    <w:rsid w:val="00765CE6"/>
    <w:rsid w:val="007B30C5"/>
    <w:rsid w:val="007C5A97"/>
    <w:rsid w:val="007E0416"/>
    <w:rsid w:val="007E488E"/>
    <w:rsid w:val="008356FA"/>
    <w:rsid w:val="0085274E"/>
    <w:rsid w:val="00890EA6"/>
    <w:rsid w:val="00896E65"/>
    <w:rsid w:val="008B7561"/>
    <w:rsid w:val="008C33D1"/>
    <w:rsid w:val="008F2D3B"/>
    <w:rsid w:val="009035BE"/>
    <w:rsid w:val="00914C69"/>
    <w:rsid w:val="00933F41"/>
    <w:rsid w:val="009C2D5E"/>
    <w:rsid w:val="009F4E99"/>
    <w:rsid w:val="00A27747"/>
    <w:rsid w:val="00A4186A"/>
    <w:rsid w:val="00A5655A"/>
    <w:rsid w:val="00A567A1"/>
    <w:rsid w:val="00A71A9A"/>
    <w:rsid w:val="00A73093"/>
    <w:rsid w:val="00AD0F74"/>
    <w:rsid w:val="00AD1F5B"/>
    <w:rsid w:val="00B056AA"/>
    <w:rsid w:val="00B1515C"/>
    <w:rsid w:val="00B756CF"/>
    <w:rsid w:val="00B964A1"/>
    <w:rsid w:val="00C22DED"/>
    <w:rsid w:val="00CC0794"/>
    <w:rsid w:val="00CC5295"/>
    <w:rsid w:val="00CC7936"/>
    <w:rsid w:val="00D11DBF"/>
    <w:rsid w:val="00D213E7"/>
    <w:rsid w:val="00D22BEF"/>
    <w:rsid w:val="00D43C25"/>
    <w:rsid w:val="00D6151D"/>
    <w:rsid w:val="00D7460E"/>
    <w:rsid w:val="00D84A40"/>
    <w:rsid w:val="00DF7CF2"/>
    <w:rsid w:val="00E17776"/>
    <w:rsid w:val="00E549ED"/>
    <w:rsid w:val="00E9703A"/>
    <w:rsid w:val="00EE0DA9"/>
    <w:rsid w:val="00F16D72"/>
    <w:rsid w:val="00F21728"/>
    <w:rsid w:val="00F22326"/>
    <w:rsid w:val="00F56350"/>
    <w:rsid w:val="00F60E0F"/>
    <w:rsid w:val="00F6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E7D259B4-96C0-2541-BBF2-EC0745146457}" type="presOf" srcId="{775DCAA4-F020-AF46-8C66-BDE8B2957432}" destId="{60C05FCD-D5AE-1C48-9230-4213AAD872E6}" srcOrd="1" destOrd="0" presId="urn:microsoft.com/office/officeart/2008/layout/HalfCircleOrganizationChart"/>
    <dgm:cxn modelId="{36041A01-18E4-E349-8EAB-EBF2507B348B}" type="presOf" srcId="{803669E2-7913-C84C-B423-3D234B067AE7}" destId="{EFCFB9F5-AF3E-0240-9A10-B27A049897A2}" srcOrd="0" destOrd="0" presId="urn:microsoft.com/office/officeart/2008/layout/HalfCircleOrganizationChart"/>
    <dgm:cxn modelId="{6FB20F7E-9986-094B-A71A-105098AF1B29}" type="presOf" srcId="{A9457501-0023-7B49-8DAF-FF55BF9C8264}" destId="{4F87C209-D403-6945-B3EC-BAD35E5E479C}" srcOrd="0" destOrd="0" presId="urn:microsoft.com/office/officeart/2008/layout/HalfCircleOrganizationChart"/>
    <dgm:cxn modelId="{E53F05A6-97D9-4C41-8C83-6F3860017142}" type="presOf" srcId="{38D645E1-F9B3-D54F-ACFA-3201FC2F627B}" destId="{ABB4FAE0-2C66-C74A-A5B7-65C14EE3AFF8}" srcOrd="1" destOrd="0" presId="urn:microsoft.com/office/officeart/2008/layout/HalfCircleOrganizationChart"/>
    <dgm:cxn modelId="{89AAC341-9C7A-B147-9984-B066748375C0}" type="presOf" srcId="{B0876A39-BDE2-9643-957E-A90E8B3D5443}" destId="{70BEBA84-735A-FE49-847F-786C9953207E}" srcOrd="0" destOrd="0" presId="urn:microsoft.com/office/officeart/2008/layout/HalfCircleOrganizationChart"/>
    <dgm:cxn modelId="{A187A58F-EFFA-AD4D-BC8F-77456D6168E9}" type="presOf" srcId="{5D9406A1-4C36-1B43-9C31-FE4B1DA108E2}" destId="{F2F3D962-EFFC-314B-8CB4-67E8756BDF7C}" srcOrd="0" destOrd="0" presId="urn:microsoft.com/office/officeart/2008/layout/HalfCircleOrganizationChart"/>
    <dgm:cxn modelId="{AC632F07-B96D-164A-A3DB-8974A9DAA898}" type="presOf" srcId="{775DCAA4-F020-AF46-8C66-BDE8B2957432}" destId="{472CD94D-5479-CC48-8E72-E5A8EC961A9F}"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8510D627-FF6D-BB41-B33F-7EBCBE08C481}" type="presOf" srcId="{41FD6DE6-E50E-E847-BD23-10132DE12F14}" destId="{BBC99D37-7D9D-0944-88FD-1C7BD1D216F1}" srcOrd="1" destOrd="0" presId="urn:microsoft.com/office/officeart/2008/layout/HalfCircleOrganizationChart"/>
    <dgm:cxn modelId="{8BA6ADE6-2254-7A4F-9C9C-4EA7912AB81F}" type="presOf" srcId="{41FD6DE6-E50E-E847-BD23-10132DE12F14}" destId="{8D31715A-F470-1E44-B9FE-64CBF43FEDAB}" srcOrd="0" destOrd="0" presId="urn:microsoft.com/office/officeart/2008/layout/HalfCircleOrganizationChart"/>
    <dgm:cxn modelId="{C11E0BDA-54C5-8F4A-848A-EFD7935A810C}" type="presOf" srcId="{B0876A39-BDE2-9643-957E-A90E8B3D5443}" destId="{DF9A0738-3C58-5F4B-8E92-4ABF59281253}" srcOrd="1"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FAEC0574-427B-DE4A-A066-1B858689FE90}" type="presOf" srcId="{38D645E1-F9B3-D54F-ACFA-3201FC2F627B}" destId="{D15EA05B-2C78-2247-8F23-8FF6053AACCA}"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D6A75F6F-9C93-9248-8EBD-364C5A3B2ED3}" type="presOf" srcId="{66F84E1E-AF04-784D-8D45-D0AD591B96B5}" destId="{73E58F35-2786-234B-9082-472D12B1F5B0}" srcOrd="0" destOrd="0" presId="urn:microsoft.com/office/officeart/2008/layout/HalfCircleOrganizationChart"/>
    <dgm:cxn modelId="{112DFD30-DE4A-004E-8B69-E46FA1CA691E}" type="presParOf" srcId="{EFCFB9F5-AF3E-0240-9A10-B27A049897A2}" destId="{5C9E9AB5-4A11-7C4E-A500-1FE4642F4E40}" srcOrd="0" destOrd="0" presId="urn:microsoft.com/office/officeart/2008/layout/HalfCircleOrganizationChart"/>
    <dgm:cxn modelId="{07CB1DCF-1BE1-584A-8DA0-7A444381F1AA}" type="presParOf" srcId="{5C9E9AB5-4A11-7C4E-A500-1FE4642F4E40}" destId="{C1878FDE-708F-6A4E-A36A-B12671EFE9ED}" srcOrd="0" destOrd="0" presId="urn:microsoft.com/office/officeart/2008/layout/HalfCircleOrganizationChart"/>
    <dgm:cxn modelId="{69250529-112A-8B46-B7BC-2A39F18A1ACD}" type="presParOf" srcId="{C1878FDE-708F-6A4E-A36A-B12671EFE9ED}" destId="{472CD94D-5479-CC48-8E72-E5A8EC961A9F}" srcOrd="0" destOrd="0" presId="urn:microsoft.com/office/officeart/2008/layout/HalfCircleOrganizationChart"/>
    <dgm:cxn modelId="{FC77938D-8991-E44B-BCC0-E16950038108}" type="presParOf" srcId="{C1878FDE-708F-6A4E-A36A-B12671EFE9ED}" destId="{8DD93CCA-C969-C14F-B2FB-D64D35E36FD6}" srcOrd="1" destOrd="0" presId="urn:microsoft.com/office/officeart/2008/layout/HalfCircleOrganizationChart"/>
    <dgm:cxn modelId="{4A3C866F-1CAF-3740-BEF4-305B7CCDB596}" type="presParOf" srcId="{C1878FDE-708F-6A4E-A36A-B12671EFE9ED}" destId="{86D15E2E-9F82-3142-8756-6BF139976101}" srcOrd="2" destOrd="0" presId="urn:microsoft.com/office/officeart/2008/layout/HalfCircleOrganizationChart"/>
    <dgm:cxn modelId="{44303CD1-30F5-A94D-B371-2DFC36FC2E4E}" type="presParOf" srcId="{C1878FDE-708F-6A4E-A36A-B12671EFE9ED}" destId="{60C05FCD-D5AE-1C48-9230-4213AAD872E6}" srcOrd="3" destOrd="0" presId="urn:microsoft.com/office/officeart/2008/layout/HalfCircleOrganizationChart"/>
    <dgm:cxn modelId="{A3E6BD4F-D073-A942-A003-4DA03BADD627}" type="presParOf" srcId="{5C9E9AB5-4A11-7C4E-A500-1FE4642F4E40}" destId="{468087A7-DB30-E145-B47B-3F7595E36A41}" srcOrd="1" destOrd="0" presId="urn:microsoft.com/office/officeart/2008/layout/HalfCircleOrganizationChart"/>
    <dgm:cxn modelId="{0C9A8CD2-F21B-CF49-A54B-E2A0504BBB33}" type="presParOf" srcId="{468087A7-DB30-E145-B47B-3F7595E36A41}" destId="{4F87C209-D403-6945-B3EC-BAD35E5E479C}" srcOrd="0" destOrd="0" presId="urn:microsoft.com/office/officeart/2008/layout/HalfCircleOrganizationChart"/>
    <dgm:cxn modelId="{036BE4A5-A4D9-DB4C-94B8-A08B821BA20E}" type="presParOf" srcId="{468087A7-DB30-E145-B47B-3F7595E36A41}" destId="{A75E41F0-7693-514C-B636-E7A925C334D2}" srcOrd="1" destOrd="0" presId="urn:microsoft.com/office/officeart/2008/layout/HalfCircleOrganizationChart"/>
    <dgm:cxn modelId="{50DD776E-DC7B-8C40-BBDA-4F9B7F6EAD9A}" type="presParOf" srcId="{A75E41F0-7693-514C-B636-E7A925C334D2}" destId="{C1321A26-635D-D045-A3CE-60584CED155B}" srcOrd="0" destOrd="0" presId="urn:microsoft.com/office/officeart/2008/layout/HalfCircleOrganizationChart"/>
    <dgm:cxn modelId="{F24D0ED5-7857-8C45-BD2A-1E77A02D8F16}" type="presParOf" srcId="{C1321A26-635D-D045-A3CE-60584CED155B}" destId="{8D31715A-F470-1E44-B9FE-64CBF43FEDAB}" srcOrd="0" destOrd="0" presId="urn:microsoft.com/office/officeart/2008/layout/HalfCircleOrganizationChart"/>
    <dgm:cxn modelId="{981A5168-0899-FB48-9625-2EE69A7EC449}" type="presParOf" srcId="{C1321A26-635D-D045-A3CE-60584CED155B}" destId="{380801FD-DFD2-F84E-A8A2-65D4D4EB1E5B}" srcOrd="1" destOrd="0" presId="urn:microsoft.com/office/officeart/2008/layout/HalfCircleOrganizationChart"/>
    <dgm:cxn modelId="{B16824E8-8581-B24F-9552-0C5DF745F4CA}" type="presParOf" srcId="{C1321A26-635D-D045-A3CE-60584CED155B}" destId="{3D5902B1-6AD0-6F45-8219-AE7543526B3A}" srcOrd="2" destOrd="0" presId="urn:microsoft.com/office/officeart/2008/layout/HalfCircleOrganizationChart"/>
    <dgm:cxn modelId="{9BF48CCF-6F2A-304D-8840-EC274A8CE436}" type="presParOf" srcId="{C1321A26-635D-D045-A3CE-60584CED155B}" destId="{BBC99D37-7D9D-0944-88FD-1C7BD1D216F1}" srcOrd="3" destOrd="0" presId="urn:microsoft.com/office/officeart/2008/layout/HalfCircleOrganizationChart"/>
    <dgm:cxn modelId="{1A09DDC8-55BC-274C-BFC1-053E90CC605C}" type="presParOf" srcId="{A75E41F0-7693-514C-B636-E7A925C334D2}" destId="{8B8EB5C2-317C-8B47-B08A-DA584B568DCA}" srcOrd="1" destOrd="0" presId="urn:microsoft.com/office/officeart/2008/layout/HalfCircleOrganizationChart"/>
    <dgm:cxn modelId="{B4A3ABE0-9461-8641-826E-17A5E2BAA0B8}" type="presParOf" srcId="{A75E41F0-7693-514C-B636-E7A925C334D2}" destId="{18B5F54B-FA77-2A47-A0FD-183FFF269921}" srcOrd="2" destOrd="0" presId="urn:microsoft.com/office/officeart/2008/layout/HalfCircleOrganizationChart"/>
    <dgm:cxn modelId="{B93FC2D0-3CB6-2044-AF4D-81E1AEDF2FBA}" type="presParOf" srcId="{468087A7-DB30-E145-B47B-3F7595E36A41}" destId="{F2F3D962-EFFC-314B-8CB4-67E8756BDF7C}" srcOrd="2" destOrd="0" presId="urn:microsoft.com/office/officeart/2008/layout/HalfCircleOrganizationChart"/>
    <dgm:cxn modelId="{78C9DB54-D3F9-B24C-AC36-C10B3B8DA7C6}" type="presParOf" srcId="{468087A7-DB30-E145-B47B-3F7595E36A41}" destId="{080AF235-C72E-004A-BB8C-4586D7CF3816}" srcOrd="3" destOrd="0" presId="urn:microsoft.com/office/officeart/2008/layout/HalfCircleOrganizationChart"/>
    <dgm:cxn modelId="{56E9C826-ECB5-2941-8DCD-B141F30AC574}" type="presParOf" srcId="{080AF235-C72E-004A-BB8C-4586D7CF3816}" destId="{E5CDCEDF-3F8A-4744-9980-455D122EDDD5}" srcOrd="0" destOrd="0" presId="urn:microsoft.com/office/officeart/2008/layout/HalfCircleOrganizationChart"/>
    <dgm:cxn modelId="{3225FB86-BCB4-0742-BF4F-295B931E1A2D}" type="presParOf" srcId="{E5CDCEDF-3F8A-4744-9980-455D122EDDD5}" destId="{70BEBA84-735A-FE49-847F-786C9953207E}" srcOrd="0" destOrd="0" presId="urn:microsoft.com/office/officeart/2008/layout/HalfCircleOrganizationChart"/>
    <dgm:cxn modelId="{E1C1F27A-10B2-D049-87FF-1F8D4E55B243}" type="presParOf" srcId="{E5CDCEDF-3F8A-4744-9980-455D122EDDD5}" destId="{93CB5102-F65C-934B-9A6F-9C4B9AD38368}" srcOrd="1" destOrd="0" presId="urn:microsoft.com/office/officeart/2008/layout/HalfCircleOrganizationChart"/>
    <dgm:cxn modelId="{4F8930E4-6DD0-9842-86E1-6B4C3AB43530}" type="presParOf" srcId="{E5CDCEDF-3F8A-4744-9980-455D122EDDD5}" destId="{C40C149A-71A2-6941-B1C6-DBC374C07FAA}" srcOrd="2" destOrd="0" presId="urn:microsoft.com/office/officeart/2008/layout/HalfCircleOrganizationChart"/>
    <dgm:cxn modelId="{28E964CC-1A83-9146-A90B-F7815C66A70A}" type="presParOf" srcId="{E5CDCEDF-3F8A-4744-9980-455D122EDDD5}" destId="{DF9A0738-3C58-5F4B-8E92-4ABF59281253}" srcOrd="3" destOrd="0" presId="urn:microsoft.com/office/officeart/2008/layout/HalfCircleOrganizationChart"/>
    <dgm:cxn modelId="{8E7B54BB-675B-DD48-A485-FA3873AE54D1}" type="presParOf" srcId="{080AF235-C72E-004A-BB8C-4586D7CF3816}" destId="{78E0B67F-1454-AA4E-8CFE-32B27E568A2C}" srcOrd="1" destOrd="0" presId="urn:microsoft.com/office/officeart/2008/layout/HalfCircleOrganizationChart"/>
    <dgm:cxn modelId="{7AAA0396-D5DF-3F46-B184-73D00A0DDE0D}" type="presParOf" srcId="{080AF235-C72E-004A-BB8C-4586D7CF3816}" destId="{C0D82EF8-B023-5D4B-A996-1926E4163D46}" srcOrd="2" destOrd="0" presId="urn:microsoft.com/office/officeart/2008/layout/HalfCircleOrganizationChart"/>
    <dgm:cxn modelId="{CF40F56D-9D7A-FF43-9E7C-1B3160C2C618}" type="presParOf" srcId="{468087A7-DB30-E145-B47B-3F7595E36A41}" destId="{73E58F35-2786-234B-9082-472D12B1F5B0}" srcOrd="4" destOrd="0" presId="urn:microsoft.com/office/officeart/2008/layout/HalfCircleOrganizationChart"/>
    <dgm:cxn modelId="{D43378C4-4426-884F-A1DF-2C2C0A631BC4}" type="presParOf" srcId="{468087A7-DB30-E145-B47B-3F7595E36A41}" destId="{049378DF-D1EB-644B-B9FC-44F60B74BF3B}" srcOrd="5" destOrd="0" presId="urn:microsoft.com/office/officeart/2008/layout/HalfCircleOrganizationChart"/>
    <dgm:cxn modelId="{48416471-7708-9144-9353-5D9BDBD42BEB}" type="presParOf" srcId="{049378DF-D1EB-644B-B9FC-44F60B74BF3B}" destId="{A5176B12-7132-5D47-BE15-38AF353466E5}" srcOrd="0" destOrd="0" presId="urn:microsoft.com/office/officeart/2008/layout/HalfCircleOrganizationChart"/>
    <dgm:cxn modelId="{E0E87C4E-5D17-B845-BF6E-BCBAB69B2D09}" type="presParOf" srcId="{A5176B12-7132-5D47-BE15-38AF353466E5}" destId="{D15EA05B-2C78-2247-8F23-8FF6053AACCA}" srcOrd="0" destOrd="0" presId="urn:microsoft.com/office/officeart/2008/layout/HalfCircleOrganizationChart"/>
    <dgm:cxn modelId="{09111121-2DA6-5345-92F0-62EB4AD02A15}" type="presParOf" srcId="{A5176B12-7132-5D47-BE15-38AF353466E5}" destId="{877B04E2-6A30-0E4E-8C82-69072375112F}" srcOrd="1" destOrd="0" presId="urn:microsoft.com/office/officeart/2008/layout/HalfCircleOrganizationChart"/>
    <dgm:cxn modelId="{744AD3EF-71FA-704A-A264-2BD7A6A7580C}" type="presParOf" srcId="{A5176B12-7132-5D47-BE15-38AF353466E5}" destId="{251B732A-9080-9E4A-8DA1-05E17E7432D2}" srcOrd="2" destOrd="0" presId="urn:microsoft.com/office/officeart/2008/layout/HalfCircleOrganizationChart"/>
    <dgm:cxn modelId="{C240C2DF-0214-2940-B604-E329305639F3}" type="presParOf" srcId="{A5176B12-7132-5D47-BE15-38AF353466E5}" destId="{ABB4FAE0-2C66-C74A-A5B7-65C14EE3AFF8}" srcOrd="3" destOrd="0" presId="urn:microsoft.com/office/officeart/2008/layout/HalfCircleOrganizationChart"/>
    <dgm:cxn modelId="{C1E16941-43F8-ED44-89EB-003D5CD9AD15}" type="presParOf" srcId="{049378DF-D1EB-644B-B9FC-44F60B74BF3B}" destId="{7A39F70B-6DF6-3747-9674-1E5BAEBBCE4A}" srcOrd="1" destOrd="0" presId="urn:microsoft.com/office/officeart/2008/layout/HalfCircleOrganizationChart"/>
    <dgm:cxn modelId="{A59AF5CF-C462-1B44-BA5E-E1719761CA68}" type="presParOf" srcId="{049378DF-D1EB-644B-B9FC-44F60B74BF3B}" destId="{E5CC467C-AA40-6C4D-BD25-A9B2FD59E0D9}" srcOrd="2" destOrd="0" presId="urn:microsoft.com/office/officeart/2008/layout/HalfCircleOrganizationChart"/>
    <dgm:cxn modelId="{362497AF-F896-484D-BBC9-4F7F15CDB8BD}"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36190C"/>
    <w:rsid w:val="00422657"/>
    <w:rsid w:val="00697E52"/>
    <w:rsid w:val="007E147D"/>
    <w:rsid w:val="009E3C60"/>
    <w:rsid w:val="00A27D62"/>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6</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7</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13</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14</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15</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16</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17</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D6398CBD-0BA7-054B-A776-0F51CB9E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502</TotalTime>
  <Pages>33</Pages>
  <Words>7811</Words>
  <Characters>42963</Characters>
  <Application>Microsoft Macintosh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
</vt:lpstr>
    </vt:vector>
  </TitlesOfParts>
  <Company/>
  <LinksUpToDate>false</LinksUpToDate>
  <CharactersWithSpaces>50673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39</cp:revision>
  <dcterms:created xsi:type="dcterms:W3CDTF">2017-10-04T18:15:00Z</dcterms:created>
  <dcterms:modified xsi:type="dcterms:W3CDTF">2017-10-06T23:54:00Z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