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 Ridge Fund III: Q3 2026 investor memo</w:t>
      </w:r>
    </w:p>
    <w:p>
      <w:r>
        <w:t>This memo accompanies the Q3 2026 investor update for the quarter ended 30 September 2026.</w:t>
      </w:r>
    </w:p>
    <w:p>
      <w:pPr>
        <w:pStyle w:val="Heading2"/>
      </w:pPr>
      <w:r>
        <w:t>Performance</w:t>
      </w:r>
    </w:p>
    <w:p>
      <w:commentRangeStart w:id="0"/>
      <w:r>
        <w:t>Net asset value closed the quarter at $248.6 million, an increase of 3.2% on the prior quarter.</w:t>
      </w:r>
      <w:commentRangeEnd w:id="0"/>
      <w:r>
        <w:rPr>
          <w:rStyle w:val="CommentReference"/>
        </w:rPr>
        <w:commentReference w:id="0"/>
      </w:r>
    </w:p>
    <w:p>
      <w:r>
        <w:t>Riverbend Industrial NOI was 12.5% below budget, driven by a tenant move-out in July and a slower re-letting period than planned.</w:t>
      </w:r>
    </w:p>
    <w:p>
      <w:pPr>
        <w:pStyle w:val="Heading2"/>
      </w:pPr>
      <w:r>
        <w:t>Distributions</w:t>
      </w:r>
    </w:p>
    <w:p>
      <w:r>
        <w:t>The Fund distributed $4.25 million to limited partners in Q3 2026.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M" w:initials="AM" w:date="2026-10-26T16:08:53Z">
    <w:p>
      <w:pPr>
        <w:pStyle w:val="CommentText"/>
      </w:pPr>
      <w:r>
        <w:rPr>
          <w:rStyle w:val="CommentReference"/>
        </w:rPr>
        <w:annotationRef/>
      </w:r>
      <w:r>
        <w:t>Check the NAV figure against the final model before sending.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Strictly Private &amp; Confidential  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