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r>
        <w:t xml:space="preserve"> </w:t>
      </w:r>
      <w:r>
        <w:rPr>
          <w:b/>
          <w:bCs/>
        </w:rPr>
        <w:t xml:space="preserve">Admin → AI models</w:t>
      </w:r>
      <w:r>
        <w:t xml:space="preserve"> </w:t>
      </w:r>
      <w:r>
        <w:t xml:space="preserve">lists every</w:t>
      </w:r>
      <w:r>
        <w:t xml:space="preserve"> </w:t>
      </w:r>
      <w:r>
        <w:t xml:space="preserve">profile with its source (settings, file or database), provider, model and readiness, and every provider on</w:t>
      </w:r>
      <w:r>
        <w:t xml:space="preserve"> </w:t>
      </w:r>
      <w:r>
        <w:t xml:space="preserve">offer. An administrator may make a profile the</w:t>
      </w:r>
      <w:r>
        <w:t xml:space="preserve"> </w:t>
      </w:r>
      <w:r>
        <w:rPr>
          <w:b/>
          <w:bCs/>
        </w:rPr>
        <w:t xml:space="preserve">default</w:t>
      </w:r>
      <w:r>
        <w:t xml:space="preserve"> </w:t>
      </w:r>
      <w:r>
        <w:t xml:space="preserve">— stored as a runtime setting in the database,</w:t>
      </w:r>
      <w:r>
        <w:t xml:space="preserve"> </w:t>
      </w:r>
      <w:r>
        <w:t xml:space="preserve">so it takes effect at once for every process, audited, and taking precedence over</w:t>
      </w:r>
      <w:r>
        <w:t xml:space="preserve"> </w:t>
      </w:r>
      <w:r>
        <w:rPr>
          <w:rStyle w:val="VerbatimChar"/>
        </w:rPr>
        <w:t xml:space="preserve">llm.profile</w:t>
      </w:r>
      <w:r>
        <w:t xml:space="preserve"> </w:t>
      </w:r>
      <w:r>
        <w:t xml:space="preserve">and the file’s</w:t>
      </w:r>
      <w:r>
        <w:t xml:space="preserve"> </w:t>
      </w:r>
      <w:r>
        <w:rPr>
          <w:rStyle w:val="VerbatimChar"/>
        </w:rPr>
        <w:t xml:space="preserve">default:</w:t>
      </w:r>
      <w:r>
        <w:t xml:space="preserve"> </w:t>
      </w:r>
      <w:r>
        <w:t xml:space="preserve">until handed back —</w:t>
      </w:r>
      <w:r>
        <w:t xml:space="preserve"> </w:t>
      </w:r>
      <w:r>
        <w:rPr>
          <w:b/>
          <w:bCs/>
        </w:rPr>
        <w:t xml:space="preserve">test</w:t>
      </w:r>
      <w:r>
        <w:t xml:space="preserve"> </w:t>
      </w:r>
      <w:r>
        <w:t xml:space="preserve">a profile with a one-line prompt, and</w:t>
      </w:r>
      <w:r>
        <w:t xml:space="preserve"> </w:t>
      </w:r>
      <w:r>
        <w:rPr>
          <w:b/>
          <w:bCs/>
        </w:rPr>
        <w:t xml:space="preserve">add, edit or delete</w:t>
      </w:r>
      <w:r>
        <w:t xml:space="preserve"> </w:t>
      </w:r>
      <w:r>
        <w:t xml:space="preserve">profiles,</w:t>
      </w:r>
      <w:r>
        <w:t xml:space="preserve"> </w:t>
      </w:r>
      <w:r>
        <w:t xml:space="preserve">which are stored in the database and replace a file profile of the same name. A profile’s options may name</w:t>
      </w:r>
      <w:r>
        <w:t xml:space="preserve"> </w:t>
      </w:r>
      <w:r>
        <w:t xml:space="preserve">the environment variable that holds a key and are refused if they appear to hold one.</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p>
      <w:pPr>
        <w:pStyle w:val="BodyText"/>
      </w:pPr>
      <w:r>
        <w:rPr>
          <w:b/>
          <w:bCs/>
        </w:rPr>
        <w:t xml:space="preserve">Every language-model call goes through the gateway.</w:t>
      </w:r>
      <w:r>
        <w:t xml:space="preserve"> </w:t>
      </w:r>
      <w:r>
        <w:t xml:space="preserve">The recorded challenger (§29.8) asks through it when</w:t>
      </w:r>
      <w:r>
        <w:t xml:space="preserve"> </w:t>
      </w:r>
      <w:r>
        <w:rPr>
          <w:rStyle w:val="VerbatimChar"/>
        </w:rPr>
        <w:t xml:space="preserve">assistant.provider</w:t>
      </w:r>
      <w:r>
        <w:t xml:space="preserve"> </w:t>
      </w:r>
      <w:r>
        <w:t xml:space="preserve">is</w:t>
      </w:r>
      <w:r>
        <w:t xml:space="preserve"> </w:t>
      </w:r>
      <w:r>
        <w:rPr>
          <w:rStyle w:val="VerbatimChar"/>
        </w:rPr>
        <w:t xml:space="preserve">llm</w:t>
      </w:r>
      <w:r>
        <w:t xml:space="preserve">, with the profile</w:t>
      </w:r>
      <w:r>
        <w:t xml:space="preserve"> </w:t>
      </w:r>
      <w:r>
        <w:rPr>
          <w:rStyle w:val="VerbatimChar"/>
        </w:rPr>
        <w:t xml:space="preserve">assistant.profile</w:t>
      </w:r>
      <w:r>
        <w:t xml:space="preserve"> </w:t>
      </w:r>
      <w:r>
        <w:t xml:space="preserve">names or the default, so switching the</w:t>
      </w:r>
      <w:r>
        <w:t xml:space="preserve"> </w:t>
      </w:r>
      <w:r>
        <w:t xml:space="preserve">default in Admin → AI models moves the challenger too; a provider that cannot enforce a schema is asked for</w:t>
      </w:r>
      <w:r>
        <w:t xml:space="preserve"> </w:t>
      </w:r>
      <w:r>
        <w:t xml:space="preserve">one JSON object and its reply is checked, a finding of an unknown severity or category being dropped</w:t>
      </w:r>
      <w:r>
        <w:t xml:space="preserve"> </w:t>
      </w:r>
      <w:r>
        <w:t xml:space="preserve">(</w:t>
      </w:r>
      <w:r>
        <w:rPr>
          <w:rStyle w:val="VerbatimChar"/>
        </w:rPr>
        <w:t xml:space="preserve">claude</w:t>
      </w:r>
      <w:r>
        <w:t xml:space="preserve"> </w:t>
      </w:r>
      <w:r>
        <w:t xml:space="preserve">keeps its direct, schema-enforced Anthropic call). A</w:t>
      </w:r>
      <w:r>
        <w:t xml:space="preserve"> </w:t>
      </w:r>
      <w:r>
        <w:rPr>
          <w:b/>
          <w:bCs/>
        </w:rPr>
        <w:t xml:space="preserve">live evaluation</w:t>
      </w:r>
      <w:r>
        <w:t xml:space="preserve"> </w:t>
      </w:r>
      <w:r>
        <w:t xml:space="preserve">of an LLM application</w:t>
      </w:r>
      <w:r>
        <w:t xml:space="preserve"> </w:t>
      </w:r>
      <w:r>
        <w:t xml:space="preserve">is different in kind: the version’s provider and model are part of what is approved, so the gateway asks</w:t>
      </w:r>
      <w:r>
        <w:t xml:space="preserve"> </w:t>
      </w:r>
      <w:r>
        <w:t xml:space="preserve">exactly that pairing, with the version’s own</w:t>
      </w:r>
      <w:r>
        <w:t xml:space="preserve"> </w:t>
      </w:r>
      <w:r>
        <w:rPr>
          <w:rStyle w:val="VerbatimChar"/>
        </w:rPr>
        <w:t xml:space="preserve">max_tokens</w:t>
      </w:r>
      <w:r>
        <w:t xml:space="preserve"> </w:t>
      </w:r>
      <w:r>
        <w:t xml:space="preserve">and temperature (none means the provider’s own),</w:t>
      </w:r>
      <w:r>
        <w:t xml:space="preserve"> </w:t>
      </w:r>
      <w:r>
        <w:t xml:space="preserve">and never the switchable default.</w:t>
      </w:r>
      <w:r>
        <w:t xml:space="preserve"> </w:t>
      </w:r>
      <w:r>
        <w:rPr>
          <w:rStyle w:val="VerbatimChar"/>
        </w:rPr>
        <w:t xml:space="preserve">anthropic</w:t>
      </w:r>
      <w:r>
        <w:t xml:space="preserve">,</w:t>
      </w:r>
      <w:r>
        <w:t xml:space="preserve"> </w:t>
      </w:r>
      <w:r>
        <w:rPr>
          <w:rStyle w:val="VerbatimChar"/>
        </w:rPr>
        <w:t xml:space="preserve">openai</w:t>
      </w:r>
      <w:r>
        <w:t xml:space="preserve">,</w:t>
      </w:r>
      <w:r>
        <w:t xml:space="preserve"> </w:t>
      </w:r>
      <w:r>
        <w:rPr>
          <w:rStyle w:val="VerbatimChar"/>
        </w:rPr>
        <w:t xml:space="preserve">azure_openai</w:t>
      </w:r>
      <w:r>
        <w:t xml:space="preserve">,</w:t>
      </w:r>
      <w:r>
        <w:t xml:space="preserve"> </w:t>
      </w:r>
      <w:r>
        <w:rPr>
          <w:rStyle w:val="VerbatimChar"/>
        </w:rPr>
        <w:t xml:space="preserve">bedrock</w:t>
      </w:r>
      <w:r>
        <w:t xml:space="preserve"> </w:t>
      </w:r>
      <w:r>
        <w:t xml:space="preserve">and</w:t>
      </w:r>
      <w:r>
        <w:t xml:space="preserve"> </w:t>
      </w:r>
      <w:r>
        <w:rPr>
          <w:rStyle w:val="VerbatimChar"/>
        </w:rPr>
        <w:t xml:space="preserve">ollama</w:t>
      </w:r>
      <w:r>
        <w:t xml:space="preserve"> </w:t>
      </w:r>
      <w:r>
        <w:t xml:space="preserve">can be run</w:t>
      </w:r>
      <w:r>
        <w:t xml:space="preserve"> </w:t>
      </w:r>
      <w:r>
        <w:t xml:space="preserve">live; any other provider is evaluated by a recorded run. Each call is audited as</w:t>
      </w:r>
      <w:r>
        <w:t xml:space="preserve"> </w:t>
      </w:r>
      <w:r>
        <w:rPr>
          <w:rStyle w:val="VerbatimChar"/>
        </w:rPr>
        <w:t xml:space="preserve">ai.completion</w:t>
      </w:r>
      <w:r>
        <w:t xml:space="preserve"> </w:t>
      </w:r>
      <w:r>
        <w:t xml:space="preserve">with its</w:t>
      </w:r>
      <w:r>
        <w:t xml:space="preserve"> </w:t>
      </w:r>
      <w:r>
        <w:t xml:space="preserve">purpose (</w:t>
      </w:r>
      <w:r>
        <w:rPr>
          <w:rStyle w:val="VerbatimChar"/>
        </w:rPr>
        <w:t xml:space="preserve">assistant.challenge</w:t>
      </w:r>
      <w:r>
        <w:t xml:space="preserve">,</w:t>
      </w:r>
      <w:r>
        <w:t xml:space="preserve"> </w:t>
      </w:r>
      <w:r>
        <w:rPr>
          <w:rStyle w:val="VerbatimChar"/>
        </w:rPr>
        <w:t xml:space="preserve">llm.evaluation</w:t>
      </w:r>
      <w:r>
        <w:t xml:space="preserve">, a document section,</w:t>
      </w:r>
      <w:r>
        <w:t xml:space="preserve"> </w:t>
      </w:r>
      <w:r>
        <w:rPr>
          <w:rStyle w:val="VerbatimChar"/>
        </w:rPr>
        <w:t xml:space="preserve">ai.test</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p>
      <w:pPr>
        <w:pStyle w:val="BodyText"/>
      </w:pPr>
      <w:r>
        <w:rPr>
          <w:b/>
          <w:bCs/>
        </w:rPr>
        <w:t xml:space="preserve">Restatement alerts</w:t>
      </w:r>
      <w:r>
        <w:t xml:space="preserve"> </w:t>
      </w:r>
      <w:r>
        <w:t xml:space="preserve">(</w:t>
      </w:r>
      <w:r>
        <w:rPr>
          <w:i/>
          <w:iCs/>
        </w:rPr>
        <w:t xml:space="preserve">Revision 2.8</w:t>
      </w:r>
      <w:r>
        <w:t xml:space="preserve">). Keeping pins still has a cost of its own: a model fitted on a pin goes on running on what the pin says after the source has corrected it. So a restatement is acted on as well as recorded. Every ingest that restates rows queues a job, which checks each live (or suspended) execution warrant. It resolves the definition of the feature set pin that warrant’s training warrant was drawn on again, over the same member feature</w:t>
      </w:r>
      <w:r>
        <w:t xml:space="preserve"> </w:t>
      </w:r>
      <w:r>
        <w:rPr>
          <w:i/>
          <w:iCs/>
        </w:rPr>
        <w:t xml:space="preserve">versions</w:t>
      </w:r>
      <w:r>
        <w:t xml:space="preserve"> </w:t>
      </w:r>
      <w:r>
        <w:t xml:space="preserve">and to the same as-of date, with everything known now. If that hashes the same as the sealed pin, nothing under the model moved and nothing is said. If it differs, MAYA records an</w:t>
      </w:r>
      <w:r>
        <w:t xml:space="preserve"> </w:t>
      </w:r>
      <w:r>
        <w:rPr>
          <w:b/>
          <w:bCs/>
        </w:rPr>
        <w:t xml:space="preserve">impact</w:t>
      </w:r>
      <w:r>
        <w:t xml:space="preserve"> </w:t>
      </w:r>
      <w:r>
        <w:t xml:space="preserve">on the warrant, with no row shown to anyone:</w:t>
      </w:r>
    </w:p>
    <w:p>
      <w:pPr>
        <w:pStyle w:val="Compact"/>
        <w:numPr>
          <w:ilvl w:val="0"/>
          <w:numId w:val="1026"/>
        </w:numPr>
      </w:pPr>
      <w:r>
        <w:t xml:space="preserve">the rows changed (and how many of them fall in the escrowed holdout), added and dropped;</w:t>
      </w:r>
    </w:p>
    <w:p>
      <w:pPr>
        <w:pStyle w:val="Compact"/>
        <w:numPr>
          <w:ilvl w:val="0"/>
          <w:numId w:val="1026"/>
        </w:numPr>
      </w:pPr>
      <w:r>
        <w:t xml:space="preserve">the warrant’s approved parameters scored on the holdout both ways, from the IR or in the sandbox, as blind scoring does (this is MAYA’s own check, so no holdout attempt is spent);</w:t>
      </w:r>
    </w:p>
    <w:p>
      <w:pPr>
        <w:pStyle w:val="Compact"/>
        <w:numPr>
          <w:ilvl w:val="0"/>
          <w:numId w:val="1026"/>
        </w:numPr>
      </w:pPr>
      <w:r>
        <w:t xml:space="preserve">the prediction shift over every row: its mean and its largest absolute value, and the share of rows that moved.</w:t>
      </w:r>
    </w:p>
    <w:p>
      <w:pPr>
        <w:pStyle w:val="FirstParagraph"/>
      </w:pPr>
      <w:r>
        <w:t xml:space="preserve">The warrant’s owner, the model’s owner and every model manager are notified. The impact stays open on the warrant’s page until one of them acknowledges it with a note, either that the model was refitted or why the change is immaterial. Nothing is suspended automatically, because whether a correction invalidates a model is a judgement; the impact is the evidence for making it. The same corrected state is never reported twice, and an owner can ask for a check at any time (</w:t>
      </w:r>
      <w:r>
        <w:rPr>
          <w:rStyle w:val="VerbatimChar"/>
        </w:rPr>
        <w:t xml:space="preserve">GET /warrants/execution/{id}/restatements</w:t>
      </w:r>
      <w:r>
        <w:t xml:space="preserve">,</w:t>
      </w:r>
      <w:r>
        <w:t xml:space="preserve"> </w:t>
      </w:r>
      <w:r>
        <w:rPr>
          <w:rStyle w:val="VerbatimChar"/>
        </w:rPr>
        <w:t xml:space="preserve">POST …/restatements/check</w:t>
      </w:r>
      <w:r>
        <w:t xml:space="preserve">,</w:t>
      </w:r>
      <w:r>
        <w:t xml:space="preserve"> </w:t>
      </w:r>
      <w:r>
        <w:rPr>
          <w:rStyle w:val="VerbatimChar"/>
        </w:rPr>
        <w:t xml:space="preserve">POST /restatements/{id}/acknowledge</w:t>
      </w:r>
      <w:r>
        <w:t xml:space="preserve">). The setting</w:t>
      </w:r>
      <w:r>
        <w:t xml:space="preserve"> </w:t>
      </w:r>
      <w:r>
        <w:rPr>
          <w:rStyle w:val="VerbatimChar"/>
        </w:rPr>
        <w:t xml:space="preserve">restatements.alerts</w:t>
      </w:r>
      <w:r>
        <w:t xml:space="preserve"> </w:t>
      </w:r>
      <w:r>
        <w:t xml:space="preserve">turns the automatic check off.</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2026-09-28T20:37:56Z</dcterms:created>
  <dcterms:modified xsi:type="dcterms:W3CDTF">2026-09-28T20:37:56Z</dcterms:modified>
</cp:coreProperties>
</file>

<file path=docProps/custom.xml><?xml version="1.0" encoding="utf-8"?>
<Properties xmlns="http://schemas.openxmlformats.org/officeDocument/2006/custom-properties" xmlns:vt="http://schemas.openxmlformats.org/officeDocument/2006/docPropsVTypes"/>
</file>