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DecValTok"/>
        </w:rPr>
        <w:t xml:space="preserve">0</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59"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End w:id="59"/>
    <w:bookmarkStart w:id="69"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3" w:name="the-canonical-state-machine"/>
    <w:p>
      <w:pPr>
        <w:pStyle w:val="Heading3"/>
      </w:pPr>
      <w:r>
        <w:t xml:space="preserve">10.1 The canonical state machine</w:t>
      </w:r>
    </w:p>
    <w:p>
      <w:pPr>
        <w:pStyle w:val="FirstParagraph"/>
      </w:pPr>
      <w:r>
        <w:drawing>
          <wp:inline>
            <wp:extent cx="5334000" cy="7216588"/>
            <wp:effectExtent b="0" l="0" r="0" t="0"/>
            <wp:docPr descr="" title="" id="61" name="Picture"/>
            <a:graphic>
              <a:graphicData uri="http://schemas.openxmlformats.org/drawingml/2006/picture">
                <pic:pic>
                  <pic:nvPicPr>
                    <pic:cNvPr descr="diagram-4.png" id="62" name="Picture"/>
                    <pic:cNvPicPr>
                      <a:picLocks noChangeArrowheads="1" noChangeAspect="1"/>
                    </pic:cNvPicPr>
                  </pic:nvPicPr>
                  <pic:blipFill>
                    <a:blip r:embed="rId60"/>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3"/>
    <w:bookmarkStart w:id="64"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4"/>
    <w:bookmarkStart w:id="65"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5"/>
    <w:bookmarkStart w:id="66"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6"/>
    <w:bookmarkStart w:id="67"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7"/>
    <w:bookmarkStart w:id="68"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8"/>
    <w:bookmarkEnd w:id="69"/>
    <w:bookmarkStart w:id="75"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0"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70"/>
    <w:bookmarkStart w:id="71"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1"/>
    <w:bookmarkStart w:id="72"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2"/>
    <w:bookmarkStart w:id="73"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3"/>
    <w:bookmarkStart w:id="74"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4"/>
    <w:bookmarkEnd w:id="75"/>
    <w:bookmarkStart w:id="76"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6"/>
    <w:bookmarkStart w:id="88"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8" name="Picture"/>
            <a:graphic>
              <a:graphicData uri="http://schemas.openxmlformats.org/drawingml/2006/picture">
                <pic:pic>
                  <pic:nvPicPr>
                    <pic:cNvPr descr="diagram-5.png" id="79" name="Picture"/>
                    <pic:cNvPicPr>
                      <a:picLocks noChangeArrowheads="1" noChangeAspect="1"/>
                    </pic:cNvPicPr>
                  </pic:nvPicPr>
                  <pic:blipFill>
                    <a:blip r:embed="rId77"/>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0"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0"/>
    <w:bookmarkStart w:id="81"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1"/>
    <w:bookmarkStart w:id="82"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2"/>
    <w:bookmarkStart w:id="87"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3"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3"/>
    <w:bookmarkStart w:id="84"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4"/>
    <w:bookmarkStart w:id="85"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5"/>
    <w:bookmarkStart w:id="86"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6"/>
    <w:bookmarkEnd w:id="87"/>
    <w:bookmarkEnd w:id="88"/>
    <w:bookmarkStart w:id="92"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9"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9"/>
    <w:bookmarkStart w:id="90"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0"/>
    <w:bookmarkStart w:id="91"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1"/>
    <w:bookmarkEnd w:id="92"/>
    <w:bookmarkStart w:id="97"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3"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3"/>
    <w:bookmarkStart w:id="94"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4"/>
    <w:bookmarkStart w:id="95"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5"/>
    <w:bookmarkStart w:id="96"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6"/>
    <w:bookmarkEnd w:id="97"/>
    <w:bookmarkStart w:id="105"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8"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8"/>
    <w:bookmarkStart w:id="99"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9"/>
    <w:bookmarkStart w:id="100"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100"/>
    <w:bookmarkStart w:id="101"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1"/>
    <w:bookmarkStart w:id="102"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2"/>
    <w:bookmarkStart w:id="103"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3"/>
    <w:bookmarkStart w:id="104"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4"/>
    <w:bookmarkEnd w:id="105"/>
    <w:bookmarkStart w:id="109"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6"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6"/>
    <w:bookmarkStart w:id="107"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7"/>
    <w:bookmarkStart w:id="108"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8"/>
    <w:bookmarkEnd w:id="109"/>
    <w:bookmarkStart w:id="121"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0"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0"/>
    <w:bookmarkStart w:id="118"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1"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1"/>
    <w:bookmarkStart w:id="112"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2"/>
    <w:bookmarkStart w:id="113"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3"/>
    <w:bookmarkStart w:id="114"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4"/>
    <w:bookmarkStart w:id="115"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 definitions and live resolutions are never cached</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5"/>
    <w:bookmarkStart w:id="116"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6"/>
    <w:bookmarkStart w:id="117"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7"/>
    <w:bookmarkEnd w:id="118"/>
    <w:bookmarkStart w:id="119"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9"/>
    <w:bookmarkStart w:id="120"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0"/>
    <w:bookmarkEnd w:id="121"/>
    <w:bookmarkStart w:id="122"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2"/>
    <w:bookmarkStart w:id="123"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3"/>
    <w:bookmarkStart w:id="127" w:name="security-and-model-risk-governance"/>
    <w:p>
      <w:pPr>
        <w:pStyle w:val="Heading2"/>
      </w:pPr>
      <w:r>
        <w:t xml:space="preserve">21. Security and model risk governance</w:t>
      </w:r>
    </w:p>
    <w:bookmarkStart w:id="124"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4"/>
    <w:bookmarkStart w:id="125"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5"/>
    <w:bookmarkStart w:id="126"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6"/>
    <w:bookmarkEnd w:id="127"/>
    <w:bookmarkStart w:id="132" w:name="engineering-standards"/>
    <w:p>
      <w:pPr>
        <w:pStyle w:val="Heading2"/>
      </w:pPr>
      <w:r>
        <w:t xml:space="preserve">22. Engineering standards</w:t>
      </w:r>
    </w:p>
    <w:bookmarkStart w:id="128"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8"/>
    <w:bookmarkStart w:id="129"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9"/>
    <w:bookmarkStart w:id="130"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30"/>
    <w:bookmarkStart w:id="131"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1"/>
    <w:bookmarkEnd w:id="132"/>
    <w:bookmarkStart w:id="133"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3"/>
    <w:bookmarkStart w:id="139" w:name="deployment-configuration-and-capacity"/>
    <w:p>
      <w:pPr>
        <w:pStyle w:val="Heading2"/>
      </w:pPr>
      <w:r>
        <w:t xml:space="preserve">24. Deployment, configuration and capacity</w:t>
      </w:r>
    </w:p>
    <w:bookmarkStart w:id="134"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4"/>
    <w:bookmarkStart w:id="135"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5"/>
    <w:bookmarkStart w:id="136"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6"/>
    <w:bookmarkStart w:id="137"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7"/>
    <w:bookmarkStart w:id="138"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2"/>
    <w:bookmarkStart w:id="143"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a declared materiality threshold.</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 budget, with the sample size stated on the report.</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the bound feature set’s own distributions, outputs compared within a declared tolerance, and counter-examples reported as concrete input rows.</w:t>
      </w:r>
    </w:p>
    <w:p>
      <w:pPr>
        <w:pStyle w:val="BodyText"/>
      </w:pPr>
      <w:r>
        <w:t xml:space="preserve">The result is a statement no other platform can make:</w:t>
      </w:r>
      <w:r>
        <w:t xml:space="preserve"> </w:t>
      </w:r>
      <w:r>
        <w:rPr>
          <w:i/>
          <w:iCs/>
        </w:rPr>
        <w:t xml:space="preserve">the code implements the documentation, checked on 10,000 sampled inputs, to a relative tolerance of 1e-9</w:t>
      </w:r>
      <w:r>
        <w:t xml:space="preserv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2026-09-20T01:30:09Z</dcterms:created>
  <dcterms:modified xsi:type="dcterms:W3CDTF">2026-09-20T01:30:09Z</dcterms:modified>
</cp:coreProperties>
</file>

<file path=docProps/custom.xml><?xml version="1.0" encoding="utf-8"?>
<Properties xmlns="http://schemas.openxmlformats.org/officeDocument/2006/custom-properties" xmlns:vt="http://schemas.openxmlformats.org/officeDocument/2006/docPropsVTypes"/>
</file>