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0.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9"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2.5 — 2026-09-19.</w:t>
      </w:r>
      <w:r>
        <w:t xml:space="preserve"> </w:t>
      </w:r>
      <w:r>
        <w:t xml:space="preserve">Three corrections from building §25 and the last of the</w:t>
      </w:r>
      <w:r>
        <w:t xml:space="preserve"> </w:t>
      </w:r>
      <w:r>
        <w:t xml:space="preserve">audit’s gaps, each marked</w:t>
      </w:r>
      <w:r>
        <w:t xml:space="preserve"> </w:t>
      </w:r>
      <w:r>
        <w:rPr>
          <w:i/>
          <w:iCs/>
        </w:rPr>
        <w:t xml:space="preserve">Revision 2.5</w:t>
      </w:r>
      <w:r>
        <w:t xml:space="preserve"> </w:t>
      </w:r>
      <w:r>
        <w:t xml:space="preserve">where it lands. The break-glass path §13.3</w:t>
      </w:r>
      <w:r>
        <w:t xml:space="preserve"> </w:t>
      </w:r>
      <w:r>
        <w:t xml:space="preserve">promises is now a named account rather than a restart in</w:t>
      </w:r>
      <w:r>
        <w:t xml:space="preserve"> </w:t>
      </w:r>
      <w:r>
        <w:rPr>
          <w:rStyle w:val="VerbatimChar"/>
        </w:rPr>
        <w:t xml:space="preserve">mode: hybrid</w:t>
      </w:r>
      <w:r>
        <w:t xml:space="preserve"> </w:t>
      </w:r>
      <w:r>
        <w:t xml:space="preserve">(§12, §13.3).</w:t>
      </w:r>
      <w:r>
        <w:t xml:space="preserve"> </w:t>
      </w:r>
      <w:r>
        <w:t xml:space="preserve">§25’s claim that</w:t>
      </w:r>
      <w:r>
        <w:t xml:space="preserve"> </w:t>
      </w:r>
      <w:r>
        <w:t xml:space="preserve">“untrusted plugins run under the same sandbox rules as user Python”</w:t>
      </w:r>
      <w:r>
        <w:t xml:space="preserve"> </w:t>
      </w:r>
      <w:r>
        <w:t xml:space="preserve">cannot hold for code imported into the server process, so the safety rule is an</w:t>
      </w:r>
      <w:r>
        <w:t xml:space="preserve"> </w:t>
      </w:r>
      <w:r>
        <w:t xml:space="preserve">allowlist and the difference between the two trust levels is stated (§25). And two rows</w:t>
      </w:r>
      <w:r>
        <w:t xml:space="preserve"> </w:t>
      </w:r>
      <w:r>
        <w:t xml:space="preserve">of §25’s table listed things MAYA does not ship — object stores other than the local</w:t>
      </w:r>
      <w:r>
        <w:t xml:space="preserve"> </w:t>
      </w:r>
      <w:r>
        <w:t xml:space="preserve">filesystem, and ONNX and PMML runtimes against ADR-007 — which is what an extension</w:t>
      </w:r>
      <w:r>
        <w:t xml:space="preserve"> </w:t>
      </w:r>
      <w:r>
        <w:t xml:space="preserve">point is for, so the rows now say so. Three more from building the last of §18 and §29:</w:t>
      </w:r>
      <w:r>
        <w:t xml:space="preserve"> </w:t>
      </w:r>
      <w:r>
        <w:t xml:space="preserve">§29.2 used</w:t>
      </w:r>
      <w:r>
        <w:t xml:space="preserve"> </w:t>
      </w:r>
      <w:r>
        <w:t xml:space="preserve">“budget”</w:t>
      </w:r>
      <w:r>
        <w:t xml:space="preserve"> </w:t>
      </w:r>
      <w:r>
        <w:t xml:space="preserve">for the materiality threshold and for the compute ceiling, which are</w:t>
      </w:r>
      <w:r>
        <w:t xml:space="preserve"> </w:t>
      </w:r>
      <w:r>
        <w:t xml:space="preserve">different things and now both exist, so each is named; the materiality threshold belongs</w:t>
      </w:r>
      <w:r>
        <w:t xml:space="preserve"> </w:t>
      </w:r>
      <w:r>
        <w:t xml:space="preserve">on the model version, because only the model knows whether its output is a price or a</w:t>
      </w:r>
      <w:r>
        <w:t xml:space="preserve"> </w:t>
      </w:r>
      <w:r>
        <w:t xml:space="preserve">probability; and §18.2.5’s</w:t>
      </w:r>
      <w:r>
        <w:t xml:space="preserve"> </w:t>
      </w:r>
      <w:r>
        <w:t xml:space="preserve">“definitions are never cached”</w:t>
      </w:r>
      <w:r>
        <w:t xml:space="preserve"> </w:t>
      </w:r>
      <w:r>
        <w:t xml:space="preserve">became too absolute once</w:t>
      </w:r>
      <w:r>
        <w:t xml:space="preserve"> </w:t>
      </w:r>
      <w:r>
        <w:t xml:space="preserve">conditional requests existed, so it now says what is actually held and under what</w:t>
      </w:r>
      <w:r>
        <w:t xml:space="preserve"> </w:t>
      </w:r>
      <w:r>
        <w:t xml:space="preserve">condition it is served. Four more from writing the case studies: §8.1’s example gave a</w:t>
      </w:r>
      <w:r>
        <w:t xml:space="preserve"> </w:t>
      </w:r>
      <w:r>
        <w:t xml:space="preserve">volatility a lower bound of zero, which divides by zero in the very formula it illustrates;</w:t>
      </w:r>
      <w:r>
        <w:t xml:space="preserve"> </w:t>
      </w:r>
      <w:r>
        <w:rPr>
          <w:rStyle w:val="VerbatimChar"/>
        </w:rPr>
        <w:t xml:space="preserve">outputs</w:t>
      </w:r>
      <w:r>
        <w:t xml:space="preserve"> </w:t>
      </w:r>
      <w:r>
        <w:t xml:space="preserve">is a list of exactly one, and a model whose Greeks must be governed with it is a</w:t>
      </w:r>
      <w:r>
        <w:t xml:space="preserve"> </w:t>
      </w:r>
      <w:r>
        <w:t xml:space="preserve">composite rather than a second version (§8.1, §8.7); §29.7’s differential test states the</w:t>
      </w:r>
      <w:r>
        <w:t xml:space="preserve"> </w:t>
      </w:r>
      <w:r>
        <w:t xml:space="preserve">domain it sampled, in the detail the reviewer reads, and does not pretend to judge whether</w:t>
      </w:r>
      <w:r>
        <w:t xml:space="preserve"> </w:t>
      </w:r>
      <w:r>
        <w:t xml:space="preserve">that domain was representative; and an</w:t>
      </w:r>
      <w:r>
        <w:t xml:space="preserve"> </w:t>
      </w:r>
      <w:r>
        <w:t xml:space="preserve">execution warrant runs exactly one parameter set, so a model with several calibrations has</w:t>
      </w:r>
      <w:r>
        <w:t xml:space="preserve"> </w:t>
      </w:r>
      <w:r>
        <w:t xml:space="preserve">one warrant each (§9.2). And two in §8.6, from the versioning study: who moves a version</w:t>
      </w:r>
      <w:r>
        <w:t xml:space="preserve"> </w:t>
      </w:r>
      <w:r>
        <w:t xml:space="preserve">along the maturity ladder and when, and what retirement is — not retroactive, warned for, and</w:t>
      </w:r>
      <w:r>
        <w:t xml:space="preserve"> </w:t>
      </w:r>
      <w:r>
        <w:t xml:space="preserve">refused while something is still serving the version, because taking a model out of service</w:t>
      </w:r>
      <w:r>
        <w:t xml:space="preserve"> </w:t>
      </w:r>
      <w:r>
        <w:t xml:space="preserve">now is revocation and not retirement. Three more from the curve and time-series studies:</w:t>
      </w:r>
      <w:r>
        <w:t xml:space="preserve"> </w:t>
      </w:r>
      <w:r>
        <w:t xml:space="preserve">§8.4 gains joint constraints over several parameters and refuses a scalar bound on a value</w:t>
      </w:r>
      <w:r>
        <w:t xml:space="preserve"> </w:t>
      </w:r>
      <w:r>
        <w:t xml:space="preserve">that is not a scalar; §29.7’s differential test records the parameter values it ran at,</w:t>
      </w:r>
      <w:r>
        <w:t xml:space="preserve"> </w:t>
      </w:r>
      <w:r>
        <w:t xml:space="preserve">because a signed parameter at zero switches off the term it multiplies; and §29.1 says that</w:t>
      </w:r>
      <w:r>
        <w:t xml:space="preserve"> </w:t>
      </w:r>
      <w:r>
        <w:t xml:space="preserve">the leakage certificate is about time alone and cannot see a feature fitted to the target.</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 Two more, from closing those</w:t>
      </w:r>
      <w:r>
        <w:t xml:space="preserve"> </w:t>
      </w:r>
      <w:r>
        <w:t xml:space="preserve">gaps: §10.2’s example asked the model owner to approve while §11’s matrix gave that role</w:t>
      </w:r>
      <w:r>
        <w:t xml:space="preserve"> </w:t>
      </w:r>
      <w:r>
        <w:t xml:space="preserve">no approval capability, so a production namespace could approve no execution warrant at</w:t>
      </w:r>
      <w:r>
        <w:t xml:space="preserve"> </w:t>
      </w:r>
      <w:r>
        <w:t xml:space="preserve">all — the matrix now grants it (§11, §3); and</w:t>
      </w:r>
      <w:r>
        <w:t xml:space="preserve"> </w:t>
      </w:r>
      <w:r>
        <w:rPr>
          <w:rStyle w:val="VerbatimChar"/>
        </w:rPr>
        <w:t xml:space="preserve">namespace_read</w:t>
      </w:r>
      <w:r>
        <w:t xml:space="preserve"> </w:t>
      </w:r>
      <w:r>
        <w:t xml:space="preserve">behaved exactly like</w:t>
      </w:r>
      <w:r>
        <w:t xml:space="preserve"> </w:t>
      </w:r>
      <w:r>
        <w:rPr>
          <w:rStyle w:val="VerbatimChar"/>
        </w:rPr>
        <w:t xml:space="preserve">public_read</w:t>
      </w:r>
      <w:r>
        <w:t xml:space="preserve">, so §11.1 now says who a namespace’s people are.</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eight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RG</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RG</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i/>
          <w:iCs/>
        </w:rPr>
        <w:t xml:space="preserve">Revision 2.5:</w:t>
      </w:r>
      <w:r>
        <w:t xml:space="preserve"> </w:t>
      </w:r>
      <w:r>
        <w:t xml:space="preserve">the leakage certificate is about</w:t>
      </w:r>
      <w:r>
        <w:t xml:space="preserve"> </w:t>
      </w:r>
      <w:r>
        <w:rPr>
          <w:b/>
          <w:bCs/>
        </w:rPr>
        <w:t xml:space="preserve">time and nothing else</w:t>
      </w:r>
      <w:r>
        <w:t xml:space="preserve">, and it is worth saying so because the certificate is easy to over-read. It cannot see that a feature was</w:t>
      </w:r>
      <w:r>
        <w:t xml:space="preserve"> </w:t>
      </w:r>
      <w:r>
        <w:rPr>
          <w:i/>
          <w:iCs/>
        </w:rPr>
        <w:t xml:space="preserve">fitted</w:t>
      </w:r>
      <w:r>
        <w:t xml:space="preserve"> </w:t>
      </w:r>
      <w:r>
        <w:t xml:space="preserve">to the warrant’s own target — a bootstrapped curve, a published factor file, a smoothed index — because that is not a question about when a value became knowable. Such a feature can carry a knowledge time that is impeccable and still contain the answer. A feature that is derived from a model should say so and name the version that produced it, and a warrant whose feature set carries one should show it as an exception needing a justification, exactly as a non-causal fill does; that is not built, and until it is, a clean certificate on a model-derived feature means less than it appears to.</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i/>
          <w:iCs/>
        </w:rPr>
        <w:t xml:space="preserve">Revision 2.4:</w:t>
      </w:r>
      <w:r>
        <w:t xml:space="preserve"> </w:t>
      </w:r>
      <w:r>
        <w:t xml:space="preserve">every operator above is built. A set that is an operation over other sets</w:t>
      </w:r>
      <w:r>
        <w:t xml:space="preserve"> </w:t>
      </w:r>
      <w:r>
        <w:t xml:space="preserve">carries a</w:t>
      </w:r>
      <w:r>
        <w:t xml:space="preserve"> </w:t>
      </w:r>
      <w:r>
        <w:rPr>
          <w:rStyle w:val="VerbatimChar"/>
        </w:rPr>
        <w:t xml:space="preserve">derivation</w:t>
      </w:r>
      <w:r>
        <w:t xml:space="preserve"> </w:t>
      </w:r>
      <w:r>
        <w:t xml:space="preserve">block —</w:t>
      </w:r>
      <w:r>
        <w:t xml:space="preserve"> </w:t>
      </w:r>
      <w:r>
        <w:rPr>
          <w:rStyle w:val="VerbatimChar"/>
        </w:rPr>
        <w:t xml:space="preserve">{operator, operands, options}</w:t>
      </w:r>
      <w:r>
        <w:t xml:space="preserve"> </w:t>
      </w:r>
      <w:r>
        <w:t xml:space="preserve">— instead of</w:t>
      </w:r>
      <w:r>
        <w:t xml:space="preserve"> </w:t>
      </w:r>
      <w:r>
        <w:rPr>
          <w:rStyle w:val="VerbatimChar"/>
        </w:rPr>
        <w:t xml:space="preserve">members</w:t>
      </w:r>
      <w:r>
        <w:t xml:space="preserve">, and</w:t>
      </w:r>
      <w:r>
        <w:t xml:space="preserve"> </w:t>
      </w:r>
      <w:r>
        <w:t xml:space="preserve">resolves by resolving its operands and applying the operator;</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difference</w:t>
      </w:r>
      <w:r>
        <w:t xml:space="preserve">,</w:t>
      </w:r>
      <w:r>
        <w:t xml:space="preserve"> </w:t>
      </w:r>
      <w:r>
        <w:rPr>
          <w:rStyle w:val="VerbatimChar"/>
        </w:rPr>
        <w:t xml:space="preserve">join</w:t>
      </w:r>
      <w:r>
        <w:t xml:space="preserve"> </w:t>
      </w:r>
      <w:r>
        <w:t xml:space="preserve">(§6.2’s alignment modes),</w:t>
      </w:r>
      <w:r>
        <w:t xml:space="preserve"> </w:t>
      </w:r>
      <w:r>
        <w:rPr>
          <w:rStyle w:val="VerbatimChar"/>
        </w:rPr>
        <w:t xml:space="preserve">project</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 </w:t>
      </w:r>
      <w:r>
        <w:t xml:space="preserve">and</w:t>
      </w:r>
      <w:r>
        <w:t xml:space="preserve"> </w:t>
      </w:r>
      <w:r>
        <w:rPr>
          <w:rStyle w:val="VerbatimChar"/>
        </w:rPr>
        <w:t xml:space="preserve">sample</w:t>
      </w:r>
      <w:r>
        <w:t xml:space="preserve"> </w:t>
      </w:r>
      <w:r>
        <w:t xml:space="preserve">are the feature algebra’s own executors, so a set operation and the equivalent feature</w:t>
      </w:r>
      <w:r>
        <w:t xml:space="preserve"> </w:t>
      </w:r>
      <w:r>
        <w:t xml:space="preserve">operation cannot drift apart.</w:t>
      </w:r>
      <w:r>
        <w:t xml:space="preserve"> </w:t>
      </w:r>
      <w:r>
        <w:rPr>
          <w:rStyle w:val="VerbatimChar"/>
        </w:rPr>
        <w:t xml:space="preserve">override</w:t>
      </w:r>
      <w:r>
        <w:t xml:space="preserve"> </w:t>
      </w:r>
      <w:r>
        <w:t xml:space="preserve">re-resolves one operand under a replaced policy,</w:t>
      </w:r>
      <w:r>
        <w:t xml:space="preserve"> </w:t>
      </w:r>
      <w:r>
        <w:t xml:space="preserve">filter, grid or alignment.</w:t>
      </w:r>
      <w:r>
        <w:t xml:space="preserve"> </w:t>
      </w:r>
      <w:r>
        <w:rPr>
          <w:rStyle w:val="VerbatimChar"/>
        </w:rPr>
        <w:t xml:space="preserve">sample</w:t>
      </w:r>
      <w:r>
        <w:t xml:space="preserve"> </w:t>
      </w:r>
      <w:r>
        <w:t xml:space="preserve">is deterministic: a date range, a universe, or a</w:t>
      </w:r>
      <w:r>
        <w:t xml:space="preserve"> </w:t>
      </w:r>
      <w:r>
        <w:t xml:space="preserve">seeded fraction chosen by hashing each row’s index, so the same spec keeps the same rows</w:t>
      </w:r>
      <w:r>
        <w:t xml:space="preserve"> </w:t>
      </w:r>
      <w:r>
        <w:t xml:space="preserve">on any machine. A derived set pins only over operands that are themselves pinned, and</w:t>
      </w:r>
      <w:r>
        <w:t xml:space="preserve"> </w:t>
      </w:r>
      <w:r>
        <w:t xml:space="preserve">refuses by name otherwise — there is no cascade, because pinning somebody else’s feature</w:t>
      </w:r>
      <w:r>
        <w:t xml:space="preserve"> </w:t>
      </w:r>
      <w:r>
        <w:t xml:space="preserve">set is their decision.</w:t>
      </w:r>
    </w:p>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FloatTok"/>
        </w:rPr>
        <w:t xml:space="preserve">0.01</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p>
      <w:pPr>
        <w:pStyle w:val="BodyText"/>
      </w:pPr>
      <w:r>
        <w:rPr>
          <w:i/>
          <w:iCs/>
        </w:rPr>
        <w:t xml:space="preserve">Revision 2.5:</w:t>
      </w:r>
      <w:r>
        <w:t xml:space="preserve"> </w:t>
      </w:r>
      <w:r>
        <w:rPr>
          <w:rStyle w:val="VerbatimChar"/>
        </w:rPr>
        <w:t xml:space="preserve">outputs</w:t>
      </w:r>
      <w:r>
        <w:t xml:space="preserve"> </w:t>
      </w:r>
      <w:r>
        <w:t xml:space="preserve">is a list of exactly one. A version has one output; the list is</w:t>
      </w:r>
      <w:r>
        <w:t xml:space="preserve"> </w:t>
      </w:r>
      <w:r>
        <w:t xml:space="preserve">reserved. A model whose derivatives or components have to be governed alongside it — the</w:t>
      </w:r>
      <w:r>
        <w:t xml:space="preserve"> </w:t>
      </w:r>
      <w:r>
        <w:t xml:space="preserve">Greeks of a pricer, the parts of a decomposition — is a composite (§8.7), not a second</w:t>
      </w:r>
      <w:r>
        <w:t xml:space="preserve"> </w:t>
      </w:r>
      <w:r>
        <w:t xml:space="preserve">version: a second version would need its own warrant and therefore its own copy of the same</w:t>
      </w:r>
      <w:r>
        <w:t xml:space="preserve"> </w:t>
      </w:r>
      <w:r>
        <w:t xml:space="preserve">calibrated parameters, and two objects holding the same numbers with nothing tying the copy to</w:t>
      </w:r>
      <w:r>
        <w:t xml:space="preserve"> </w:t>
      </w:r>
      <w:r>
        <w:t xml:space="preserve">the original is worse than leaving them out.</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on upload against the model version’s declared parameter inputs — presence, shape and bounds — whether the model is a formula or a declared black box.</w:t>
      </w:r>
      <w:r>
        <w:t xml:space="preserve"> </w:t>
      </w:r>
      <w:r>
        <w:rPr>
          <w:i/>
          <w:iCs/>
        </w:rPr>
        <w:t xml:space="preserve">Revision 2.5:</w:t>
      </w:r>
      <w:r>
        <w:t xml:space="preserve"> </w:t>
      </w:r>
      <w:r>
        <w:t xml:space="preserve">three things this sentence did not say. Bounds are</w:t>
      </w:r>
      <w:r>
        <w:t xml:space="preserve"> </w:t>
      </w:r>
      <w:r>
        <w:rPr>
          <w:b/>
          <w:bCs/>
        </w:rPr>
        <w:t xml:space="preserve">per parameter</w:t>
      </w:r>
      <w:r>
        <w:t xml:space="preserve">, and some conditions are not: a GARCH model is stationary only if</w:t>
      </w:r>
      <w:r>
        <w:t xml:space="preserve"> </w:t>
      </w:r>
      <m:oMath>
        <m:r>
          <m:t>α</m:t>
        </m:r>
        <m:r>
          <m:rPr>
            <m:sty m:val="p"/>
          </m:rPr>
          <m:t>+</m:t>
        </m:r>
        <m:r>
          <m:t>β</m:t>
        </m:r>
        <m:r>
          <m:rPr>
            <m:sty m:val="p"/>
          </m:rPr>
          <m:t>&lt;</m:t>
        </m:r>
        <m:r>
          <m:t>1</m:t>
        </m:r>
      </m:oMath>
      <w:r>
        <w:t xml:space="preserve">, an AR(2) only inside a triangle in</w:t>
      </w:r>
      <w:r>
        <w:t xml:space="preserve"> </w:t>
      </w:r>
      <m:oMath>
        <m:r>
          <m:rPr>
            <m:sty m:val="p"/>
          </m:rPr>
          <m:t>(</m:t>
        </m:r>
        <m:sSub>
          <m:e>
            <m:r>
              <m:t>ϕ</m:t>
            </m:r>
          </m:e>
          <m:sub>
            <m:r>
              <m:t>1</m:t>
            </m:r>
          </m:sub>
        </m:sSub>
        <m:r>
          <m:rPr>
            <m:sty m:val="p"/>
          </m:rPr>
          <m:t>,</m:t>
        </m:r>
        <m:sSub>
          <m:e>
            <m:r>
              <m:t>ϕ</m:t>
            </m:r>
          </m:e>
          <m:sub>
            <m:r>
              <m:t>2</m:t>
            </m:r>
          </m:sub>
        </m:sSub>
        <m:r>
          <m:rPr>
            <m:sty m:val="p"/>
          </m:rPr>
          <m:t>)</m:t>
        </m:r>
      </m:oMath>
      <w:r>
        <w:t xml:space="preserve">, a Nelson–Siegel curve’s instantaneous short rate is</w:t>
      </w:r>
      <w:r>
        <w:t xml:space="preserve"> </w:t>
      </w:r>
      <m:oMath>
        <m:sSub>
          <m:e>
            <m:r>
              <m:t>β</m:t>
            </m:r>
          </m:e>
          <m:sub>
            <m:r>
              <m:t>0</m:t>
            </m:r>
          </m:sub>
        </m:sSub>
        <m:r>
          <m:rPr>
            <m:sty m:val="p"/>
          </m:rPr>
          <m:t>+</m:t>
        </m:r>
        <m:sSub>
          <m:e>
            <m:r>
              <m:t>β</m:t>
            </m:r>
          </m:e>
          <m:sub>
            <m:r>
              <m:t>1</m:t>
            </m:r>
          </m:sub>
        </m:sSub>
      </m:oMath>
      <w:r>
        <w:t xml:space="preserve"> </w:t>
      </w:r>
      <w:r>
        <w:t xml:space="preserve">and has to be non-negative however plausible either coefficient looks alone. A version may therefore declare</w:t>
      </w:r>
      <w:r>
        <w:t xml:space="preserve"> </w:t>
      </w:r>
      <w:r>
        <w:rPr>
          <w:b/>
          <w:bCs/>
        </w:rPr>
        <w:t xml:space="preserve">joint constraints</w:t>
      </w:r>
      <w:r>
        <w:t xml:space="preserve"> </w:t>
      </w:r>
      <w:r>
        <w:t xml:space="preserve">over several of its own parameters: an expression, a comparison, and a reason, which is mandatory because the reason is the only thing a modeller sees when the constraint fires. A constraint reads parameters and never features, because it has to hold before any data is seen. And a declared bound on a value that is not a number is</w:t>
      </w:r>
      <w:r>
        <w:t xml:space="preserve"> </w:t>
      </w:r>
      <w:r>
        <w:rPr>
          <w:b/>
          <w:bCs/>
        </w:rPr>
        <w:t xml:space="preserve">refused</w:t>
      </w:r>
      <w:r>
        <w:t xml:space="preserve"> </w:t>
      </w:r>
      <w:r>
        <w:t xml:space="preserve">rather than skipped: a scalar bound on an array means one of the two is wrong, and a model whose parameter genuinely is an array — a black box’s weight matrix — declares no bound on it.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p>
      <w:pPr>
        <w:pStyle w:val="BodyText"/>
      </w:pPr>
      <w:r>
        <w:rPr>
          <w:i/>
          <w:iCs/>
        </w:rPr>
        <w:t xml:space="preserve">Revision 2.5:</w:t>
      </w:r>
      <w:r>
        <w:t xml:space="preserve"> </w:t>
      </w:r>
      <w:r>
        <w:t xml:space="preserve">two things this section did not say, both found by building a study that used it.</w:t>
      </w:r>
      <w:r>
        <w:t xml:space="preserve"> </w:t>
      </w:r>
      <w:r>
        <w:rPr>
          <w:b/>
          <w:bCs/>
        </w:rPr>
        <w:t xml:space="preserve">Who moves a version along the ladder, and when.</w:t>
      </w:r>
      <w:r>
        <w:t xml:space="preserve"> </w:t>
      </w:r>
      <w:r>
        <w:t xml:space="preserve">The maturity is set by whoever may approve the version, at any point in its life, and does not require a new draft: a version already in service can be marked</w:t>
      </w:r>
      <w:r>
        <w:t xml:space="preserve"> </w:t>
      </w:r>
      <w:r>
        <w:rPr>
          <w:rStyle w:val="VerbatimChar"/>
        </w:rPr>
        <w:t xml:space="preserve">restricted</w:t>
      </w:r>
      <w:r>
        <w:t xml:space="preserve"> </w:t>
      </w:r>
      <w:r>
        <w:t xml:space="preserve">without becoming a different version, because restriction is a statement about the version that exists and not a reason to mint another. The</w:t>
      </w:r>
      <w:r>
        <w:t xml:space="preserve"> </w:t>
      </w:r>
      <w:r>
        <w:rPr>
          <w:rStyle w:val="VerbatimChar"/>
        </w:rPr>
        <w:t xml:space="preserve">deprecate</w:t>
      </w:r>
      <w:r>
        <w:t xml:space="preserve"> </w:t>
      </w:r>
      <w:r>
        <w:t xml:space="preserve">and</w:t>
      </w:r>
      <w:r>
        <w:t xml:space="preserve"> </w:t>
      </w:r>
      <w:r>
        <w:rPr>
          <w:rStyle w:val="VerbatimChar"/>
        </w:rPr>
        <w:t xml:space="preserve">retire</w:t>
      </w:r>
      <w:r>
        <w:t xml:space="preserve"> </w:t>
      </w:r>
      <w:r>
        <w:t xml:space="preserve">transitions move the maturity with the state, so the two never disagree — they used to, and a deprecated version went on advertising itself as a</w:t>
      </w:r>
      <w:r>
        <w:t xml:space="preserve"> </w:t>
      </w:r>
      <w:r>
        <w:rPr>
          <w:rStyle w:val="VerbatimChar"/>
        </w:rPr>
        <w:t xml:space="preserve">candidate</w:t>
      </w:r>
      <w:r>
        <w:t xml:space="preserve">, which mattered because §8.7’s cap reads a member’s maturity rather than its state.</w:t>
      </w:r>
    </w:p>
    <w:p>
      <w:pPr>
        <w:pStyle w:val="BodyText"/>
      </w:pPr>
      <w:r>
        <w:rPr>
          <w:b/>
          <w:bCs/>
        </w:rPr>
        <w:t xml:space="preserve">And what retirement is.</w:t>
      </w:r>
      <w:r>
        <w:t xml:space="preserve"> </w:t>
      </w:r>
      <w:r>
        <w:t xml:space="preserve">Retirement is the end of the ladder and it is not retroactive: warrants already sealed on a retired version remain valid and remain reproducible, because withdrawing them would destroy the reproducibility the seal exists to guarantee. MAYA warns every owner of a dependent warrant, on retirement exactly as on deprecation. But a version still</w:t>
      </w:r>
      <w:r>
        <w:t xml:space="preserve"> </w:t>
      </w:r>
      <w:r>
        <w:rPr>
          <w:b/>
          <w:bCs/>
        </w:rPr>
        <w:t xml:space="preserve">serving</w:t>
      </w:r>
      <w:r>
        <w:t xml:space="preserve"> </w:t>
      </w:r>
      <w:r>
        <w:t xml:space="preserve">production cannot be retired at all: an execution warrant that is live or suspended refuses the transition and names itself, because retiring underneath it would leave production running a retired model with nothing saying so. Taking a model out of service</w:t>
      </w:r>
      <w:r>
        <w:t xml:space="preserve"> </w:t>
      </w:r>
      <w:r>
        <w:rPr>
          <w:i/>
          <w:iCs/>
        </w:rPr>
        <w:t xml:space="preserve">now</w:t>
      </w:r>
      <w:r>
        <w:t xml:space="preserve"> </w:t>
      </w:r>
      <w:r>
        <w:t xml:space="preserve">is revocation (§9.4), and the two are deliberately different acts performed in that order.</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59"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 exactly one (</w:t>
      </w:r>
      <w:r>
        <w:rPr>
          <w:i/>
          <w:iCs/>
        </w:rPr>
        <w:t xml:space="preserve">Revision 2.5:</w:t>
      </w:r>
      <w:r>
        <w:t xml:space="preserve"> </w:t>
      </w:r>
      <w:r>
        <w:t xml:space="preserve">a model live with several calibrations, per underlying or per desk or per region, has one execution warrant each; the singular here is enforced) —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End w:id="59"/>
    <w:bookmarkStart w:id="69"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3" w:name="the-canonical-state-machine"/>
    <w:p>
      <w:pPr>
        <w:pStyle w:val="Heading3"/>
      </w:pPr>
      <w:r>
        <w:t xml:space="preserve">10.1 The canonical state machine</w:t>
      </w:r>
    </w:p>
    <w:p>
      <w:pPr>
        <w:pStyle w:val="FirstParagraph"/>
      </w:pPr>
      <w:r>
        <w:drawing>
          <wp:inline>
            <wp:extent cx="5334000" cy="7216588"/>
            <wp:effectExtent b="0" l="0" r="0" t="0"/>
            <wp:docPr descr="" title="" id="61" name="Picture"/>
            <a:graphic>
              <a:graphicData uri="http://schemas.openxmlformats.org/drawingml/2006/picture">
                <pic:pic>
                  <pic:nvPicPr>
                    <pic:cNvPr descr="diagram-4.png" id="62" name="Picture"/>
                    <pic:cNvPicPr>
                      <a:picLocks noChangeArrowheads="1" noChangeAspect="1"/>
                    </pic:cNvPicPr>
                  </pic:nvPicPr>
                  <pic:blipFill>
                    <a:blip r:embed="rId60"/>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3"/>
    <w:bookmarkStart w:id="64"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rPr>
          <w:rStyle w:val="CommentTok"/>
        </w:rPr>
        <w:t xml:space="preserve">   # Revision 2.4: the owner holds 'A' (§3)</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i/>
          <w:iCs/>
        </w:rPr>
        <w:t xml:space="preserve">Revision 2.4:</w:t>
      </w:r>
      <w:r>
        <w:t xml:space="preserve"> </w:t>
      </w:r>
      <w:r>
        <w:t xml:space="preserve">an approval’s</w:t>
      </w:r>
      <w:r>
        <w:t xml:space="preserve"> </w:t>
      </w:r>
      <w:r>
        <w:rPr>
          <w:rStyle w:val="VerbatimChar"/>
        </w:rPr>
        <w:t xml:space="preserve">when</w:t>
      </w:r>
      <w:r>
        <w:t xml:space="preserve"> </w:t>
      </w:r>
      <w:r>
        <w:t xml:space="preserve">is read, not guessed:</w:t>
      </w:r>
      <w:r>
        <w:t xml:space="preserve"> </w:t>
      </w:r>
      <w:r>
        <w:rPr>
          <w:rStyle w:val="VerbatimChar"/>
        </w:rPr>
        <w:t xml:space="preserve">prod</w:t>
      </w:r>
      <w:r>
        <w:t xml:space="preserve">,</w:t>
      </w:r>
      <w:r>
        <w:t xml:space="preserve"> </w:t>
      </w:r>
      <w:r>
        <w:rPr>
          <w:rStyle w:val="VerbatimChar"/>
        </w:rPr>
        <w:t xml:space="preserve">env == 'prod'</w:t>
      </w:r>
      <w:r>
        <w:t xml:space="preserve">,</w:t>
      </w:r>
      <w:r>
        <w:t xml:space="preserve"> </w:t>
      </w:r>
      <w:r>
        <w:rPr>
          <w:rStyle w:val="VerbatimChar"/>
        </w:rPr>
        <w:t xml:space="preserve">env != 'prod'</w:t>
      </w:r>
      <w:r>
        <w:t xml:space="preserve"> </w:t>
      </w:r>
      <w:r>
        <w:t xml:space="preserve">and the</w:t>
      </w:r>
      <w:r>
        <w:t xml:space="preserve"> </w:t>
      </w:r>
      <w:r>
        <w:rPr>
          <w:rStyle w:val="VerbatimChar"/>
        </w:rPr>
        <w:t xml:space="preserve">nonprod</w:t>
      </w:r>
      <w:r>
        <w:t xml:space="preserve"> </w:t>
      </w:r>
      <w:r>
        <w:t xml:space="preserve">forms. A namespace marked</w:t>
      </w:r>
      <w:r>
        <w:t xml:space="preserve"> </w:t>
      </w:r>
      <w:r>
        <w:rPr>
          <w:rStyle w:val="VerbatimChar"/>
        </w:rPr>
        <w:t xml:space="preserve">production</w:t>
      </w:r>
      <w:r>
        <w:t xml:space="preserve"> </w:t>
      </w:r>
      <w:r>
        <w:t xml:space="preserve">is env</w:t>
      </w:r>
      <w:r>
        <w:t xml:space="preserve"> </w:t>
      </w:r>
      <w:r>
        <w:rPr>
          <w:rStyle w:val="VerbatimChar"/>
        </w:rPr>
        <w:t xml:space="preserve">prod</w:t>
      </w:r>
      <w:r>
        <w:t xml:space="preserve">.</w:t>
      </w:r>
      <w:r>
        <w:t xml:space="preserve"> </w:t>
      </w:r>
      <w:r>
        <w:t xml:space="preserve">Any other form is refused when the policy is saved, and a stored form MAYA cannot read</w:t>
      </w:r>
      <w:r>
        <w:t xml:space="preserve"> </w:t>
      </w:r>
      <w:r>
        <w:t xml:space="preserve">asks for the approval rather than dropping it — before this, every form but the bare word</w:t>
      </w:r>
      <w:r>
        <w:t xml:space="preserve"> </w:t>
      </w:r>
      <w:r>
        <w:rPr>
          <w:rStyle w:val="VerbatimChar"/>
        </w:rPr>
        <w:t xml:space="preserve">prod</w:t>
      </w:r>
      <w:r>
        <w:t xml:space="preserve"> </w:t>
      </w:r>
      <w:r>
        <w:t xml:space="preserve">silently made the approval unconditional. A policy whose approver could never hold</w:t>
      </w:r>
      <w:r>
        <w:t xml:space="preserve"> </w:t>
      </w:r>
      <w:r>
        <w:t xml:space="preserve">the capability (§11’s ceiling) is also refused, rather than leaving its objects stuck in</w:t>
      </w:r>
      <w:r>
        <w:t xml:space="preserve"> </w:t>
      </w:r>
      <w:r>
        <w:t xml:space="preserve">review.</w:t>
      </w:r>
    </w:p>
    <w:p>
      <w:pPr>
        <w:pStyle w:val="BodyText"/>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4"/>
    <w:bookmarkStart w:id="65"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5"/>
    <w:bookmarkStart w:id="66"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6"/>
    <w:bookmarkStart w:id="67"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7"/>
    <w:bookmarkStart w:id="68"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68"/>
    <w:bookmarkEnd w:id="69"/>
    <w:bookmarkStart w:id="75"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0" w:name="the-four-inputs"/>
    <w:p>
      <w:pPr>
        <w:pStyle w:val="Heading3"/>
      </w:pPr>
      <w:r>
        <w:t xml:space="preserve">11.1 The four inputs</w:t>
      </w:r>
    </w:p>
    <w:p>
      <w:pPr>
        <w:pStyle w:val="Compact"/>
        <w:numPr>
          <w:ilvl w:val="0"/>
          <w:numId w:val="1010"/>
        </w:numPr>
      </w:pPr>
      <w:r>
        <w:rPr>
          <w:b/>
          <w:bCs/>
        </w:rPr>
        <w:t xml:space="preserve">Role capabilities</w:t>
      </w:r>
      <w:r>
        <w:t xml:space="preserve"> </w:t>
      </w:r>
      <w:r>
        <w:t xml:space="preserve">from the user’s roles (section 3), which say what kinds of action are possible at all.</w:t>
      </w:r>
    </w:p>
    <w:p>
      <w:pPr>
        <w:pStyle w:val="Compact"/>
        <w:numPr>
          <w:ilvl w:val="0"/>
          <w:numId w:val="1010"/>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0"/>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r>
        <w:t xml:space="preserve"> </w:t>
      </w:r>
      <w:r>
        <w:rPr>
          <w:i/>
          <w:iCs/>
        </w:rPr>
        <w:t xml:space="preserve">Revision 2.4:</w:t>
      </w:r>
      <w:r>
        <w:t xml:space="preserve"> </w:t>
      </w:r>
      <w:r>
        <w:t xml:space="preserve">the two open levels behaved identically, because MAYA had no notion of belonging to a namespace. A namespace’s</w:t>
      </w:r>
      <w:r>
        <w:t xml:space="preserve"> </w:t>
      </w:r>
      <w:r>
        <w:rPr>
          <w:b/>
          <w:bCs/>
        </w:rPr>
        <w:t xml:space="preserve">people</w:t>
      </w:r>
      <w:r>
        <w:t xml:space="preserve"> </w:t>
      </w:r>
      <w:r>
        <w:t xml:space="preserve">are its owner, anyone holding a grant on it, and holders of the roles its preset staffs (§28.9);</w:t>
      </w:r>
      <w:r>
        <w:t xml:space="preserve"> </w:t>
      </w:r>
      <w:r>
        <w:rPr>
          <w:rStyle w:val="VerbatimChar"/>
        </w:rPr>
        <w:t xml:space="preserve">namespace_read</w:t>
      </w:r>
      <w:r>
        <w:t xml:space="preserve"> </w:t>
      </w:r>
      <w:r>
        <w:t xml:space="preserve">reads to them,</w:t>
      </w:r>
      <w:r>
        <w:t xml:space="preserve"> </w:t>
      </w:r>
      <w:r>
        <w:rPr>
          <w:rStyle w:val="VerbatimChar"/>
        </w:rPr>
        <w:t xml:space="preserve">public_read</w:t>
      </w:r>
      <w:r>
        <w:t xml:space="preserve"> </w:t>
      </w:r>
      <w:r>
        <w:t xml:space="preserve">to anyone signed in. An explicit grant is decided first either way.</w:t>
      </w:r>
    </w:p>
    <w:p>
      <w:pPr>
        <w:pStyle w:val="Compact"/>
        <w:numPr>
          <w:ilvl w:val="0"/>
          <w:numId w:val="1010"/>
        </w:numPr>
      </w:pPr>
      <w:r>
        <w:rPr>
          <w:b/>
          <w:bCs/>
        </w:rPr>
        <w:t xml:space="preserve">Object state</w:t>
      </w:r>
      <w:r>
        <w:t xml:space="preserve">: sealed and pinned objects are read-only to everyone including their owner; retired objects are readable only with an explicit audit grant.</w:t>
      </w:r>
    </w:p>
    <w:bookmarkEnd w:id="70"/>
    <w:bookmarkStart w:id="71"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1"/>
        </w:numPr>
      </w:pPr>
      <w:r>
        <w:t xml:space="preserve">Explicit deny on the object for this user → deny.</w:t>
      </w:r>
    </w:p>
    <w:p>
      <w:pPr>
        <w:pStyle w:val="Compact"/>
        <w:numPr>
          <w:ilvl w:val="0"/>
          <w:numId w:val="1011"/>
        </w:numPr>
      </w:pPr>
      <w:r>
        <w:t xml:space="preserve">Explicit user grant on the object → use it.</w:t>
      </w:r>
    </w:p>
    <w:p>
      <w:pPr>
        <w:pStyle w:val="Compact"/>
        <w:numPr>
          <w:ilvl w:val="0"/>
          <w:numId w:val="1011"/>
        </w:numPr>
      </w:pPr>
      <w:r>
        <w:t xml:space="preserve">Group or role grant on the object → highest level among matches.</w:t>
      </w:r>
    </w:p>
    <w:p>
      <w:pPr>
        <w:pStyle w:val="Compact"/>
        <w:numPr>
          <w:ilvl w:val="0"/>
          <w:numId w:val="1011"/>
        </w:numPr>
      </w:pPr>
      <w:r>
        <w:rPr>
          <w:rStyle w:val="VerbatimChar"/>
        </w:rPr>
        <w:t xml:space="preserve">everyone</w:t>
      </w:r>
      <w:r>
        <w:t xml:space="preserve"> </w:t>
      </w:r>
      <w:r>
        <w:t xml:space="preserve">grant on the object → use it.</w:t>
      </w:r>
    </w:p>
    <w:p>
      <w:pPr>
        <w:pStyle w:val="Compact"/>
        <w:numPr>
          <w:ilvl w:val="0"/>
          <w:numId w:val="1011"/>
        </w:numPr>
      </w:pPr>
      <w:r>
        <w:t xml:space="preserve">Inherited namespace default → use it.</w:t>
      </w:r>
    </w:p>
    <w:p>
      <w:pPr>
        <w:pStyle w:val="Compact"/>
        <w:numPr>
          <w:ilvl w:val="0"/>
          <w:numId w:val="1011"/>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1"/>
    <w:bookmarkStart w:id="72"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2"/>
    <w:bookmarkStart w:id="73"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3"/>
    <w:bookmarkStart w:id="74"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4"/>
    <w:bookmarkEnd w:id="75"/>
    <w:bookmarkStart w:id="76"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r>
        <w:t xml:space="preserve"> </w:t>
      </w:r>
      <w:r>
        <w:rPr>
          <w:i/>
          <w:iCs/>
        </w:rPr>
        <w:t xml:space="preserve">Revision 2.5:</w:t>
      </w:r>
      <w:r>
        <w:t xml:space="preserve"> </w:t>
      </w:r>
      <w:r>
        <w:t xml:space="preserve">with one exception, which §13.3 needs and which is now built — the accounts named in</w:t>
      </w:r>
      <w:r>
        <w:t xml:space="preserve"> </w:t>
      </w:r>
      <w:r>
        <w:rPr>
          <w:rStyle w:val="VerbatimChar"/>
        </w:rPr>
        <w:t xml:space="preserve">auth.break_glass.users</w:t>
      </w:r>
      <w:r>
        <w:t xml:space="preserve"> </w:t>
      </w:r>
      <w:r>
        <w:t xml:space="preserve">may sign in with a password under</w:t>
      </w:r>
      <w:r>
        <w:t xml:space="preserve"> </w:t>
      </w:r>
      <w:r>
        <w:rPr>
          <w:rStyle w:val="VerbatimChar"/>
        </w:rPr>
        <w:t xml:space="preserve">mode: sso</w:t>
      </w:r>
      <w:r>
        <w:t xml:space="preserve"> </w:t>
      </w:r>
      <w:r>
        <w:t xml:space="preserve">too. They are ordinary database accounts holding the administrator role, MFA applies to them as it does to anyone, their session is short (</w:t>
      </w:r>
      <w:r>
        <w:rPr>
          <w:rStyle w:val="VerbatimChar"/>
        </w:rPr>
        <w:t xml:space="preserve">auth.break_glass.session_minutes</w:t>
      </w:r>
      <w:r>
        <w:t xml:space="preserve">), and every such sign-in is audited, logged at warning level and notified to every administrator.</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6"/>
    <w:bookmarkStart w:id="88"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78" name="Picture"/>
            <a:graphic>
              <a:graphicData uri="http://schemas.openxmlformats.org/drawingml/2006/picture">
                <pic:pic>
                  <pic:nvPicPr>
                    <pic:cNvPr descr="diagram-5.png" id="79" name="Picture"/>
                    <pic:cNvPicPr>
                      <a:picLocks noChangeArrowheads="1" noChangeAspect="1"/>
                    </pic:cNvPicPr>
                  </pic:nvPicPr>
                  <pic:blipFill>
                    <a:blip r:embed="rId77"/>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0"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0"/>
    <w:bookmarkStart w:id="81"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1"/>
    <w:bookmarkStart w:id="82"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2.5:</w:t>
      </w:r>
      <w:r>
        <w:t xml:space="preserve"> </w:t>
      </w:r>
      <w:r>
        <w:t xml:space="preserve">that path is now a door rather than a restart. Revision 2.4 said</w:t>
      </w:r>
      <w:r>
        <w:t xml:space="preserve"> </w:t>
      </w:r>
      <w:r>
        <w:rPr>
          <w:rStyle w:val="VerbatimChar"/>
        </w:rPr>
        <w:t xml:space="preserve">mode: sso</w:t>
      </w:r>
      <w:r>
        <w:t xml:space="preserve"> </w:t>
      </w:r>
      <w:r>
        <w:t xml:space="preserve">refuses every password sign-in, so the only way in was to restart every process in</w:t>
      </w:r>
      <w:r>
        <w:t xml:space="preserve"> </w:t>
      </w:r>
      <w:r>
        <w:rPr>
          <w:rStyle w:val="VerbatimChar"/>
        </w:rPr>
        <w:t xml:space="preserve">mode: hybrid</w:t>
      </w:r>
      <w:r>
        <w:t xml:space="preserve"> </w:t>
      </w:r>
      <w:r>
        <w:t xml:space="preserve">— a configuration change at the worst possible moment, which then opened password sign-in to every database account rather than to the one kept for this.</w:t>
      </w:r>
      <w:r>
        <w:t xml:space="preserve"> </w:t>
      </w:r>
      <w:r>
        <w:rPr>
          <w:rStyle w:val="VerbatimChar"/>
        </w:rPr>
        <w:t xml:space="preserve">auth.break_glass.users</w:t>
      </w:r>
      <w:r>
        <w:t xml:space="preserve"> </w:t>
      </w:r>
      <w:r>
        <w:t xml:space="preserve">names that account instead; see §12 and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2"/>
    <w:bookmarkStart w:id="87"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3"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3"/>
    <w:bookmarkStart w:id="84"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bl>
    <w:bookmarkEnd w:id="84"/>
    <w:bookmarkStart w:id="85" w:name="rules-that-apply-to-every-seam"/>
    <w:p>
      <w:pPr>
        <w:pStyle w:val="Heading4"/>
      </w:pPr>
      <w:r>
        <w:t xml:space="preserve">13.4.3 Rules that apply to every seam</w:t>
      </w:r>
    </w:p>
    <w:p>
      <w:pPr>
        <w:pStyle w:val="Compact"/>
        <w:numPr>
          <w:ilvl w:val="0"/>
          <w:numId w:val="1012"/>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2"/>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2"/>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2"/>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2"/>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2"/>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2"/>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5"/>
    <w:bookmarkStart w:id="86"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3"/>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3"/>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3"/>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3"/>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6"/>
    <w:bookmarkEnd w:id="87"/>
    <w:bookmarkEnd w:id="88"/>
    <w:bookmarkStart w:id="92"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89"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89"/>
    <w:bookmarkStart w:id="90"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0"/>
    <w:bookmarkStart w:id="91"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1"/>
    <w:bookmarkEnd w:id="92"/>
    <w:bookmarkStart w:id="97"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3"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3"/>
    <w:bookmarkStart w:id="94"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4"/>
    <w:bookmarkStart w:id="95"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5"/>
    <w:bookmarkStart w:id="96"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6"/>
    <w:bookmarkEnd w:id="97"/>
    <w:bookmarkStart w:id="105"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98"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bookmarkEnd w:id="98"/>
    <w:bookmarkStart w:id="99"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bookmarkEnd w:id="99"/>
    <w:bookmarkStart w:id="100"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bookmarkEnd w:id="100"/>
    <w:bookmarkStart w:id="101"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1"/>
    <w:bookmarkStart w:id="102"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2"/>
    <w:bookmarkStart w:id="103"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3"/>
    <w:bookmarkStart w:id="104"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4"/>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4"/>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4"/>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4"/>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4"/>
    <w:bookmarkEnd w:id="105"/>
    <w:bookmarkStart w:id="109"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6"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6"/>
    <w:bookmarkStart w:id="107"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5"/>
        </w:numPr>
      </w:pPr>
      <w:r>
        <w:t xml:space="preserve">Parse and lint (</w:t>
      </w:r>
      <w:r>
        <w:rPr>
          <w:rStyle w:val="VerbatimChar"/>
        </w:rPr>
        <w:t xml:space="preserve">ruff</w:t>
      </w:r>
      <w:r>
        <w:t xml:space="preserve">), with a MAYA rule set.</w:t>
      </w:r>
    </w:p>
    <w:p>
      <w:pPr>
        <w:pStyle w:val="Compact"/>
        <w:numPr>
          <w:ilvl w:val="0"/>
          <w:numId w:val="1015"/>
        </w:numPr>
      </w:pPr>
      <w:r>
        <w:t xml:space="preserve">Entry point and signature check against the declared interface.</w:t>
      </w:r>
    </w:p>
    <w:p>
      <w:pPr>
        <w:pStyle w:val="Compact"/>
        <w:numPr>
          <w:ilvl w:val="0"/>
          <w:numId w:val="1015"/>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5"/>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5"/>
        </w:numPr>
      </w:pPr>
      <w:r>
        <w:t xml:space="preserve">Smoke run in a sandboxed subprocess against a sample from the declared feature set, with CPU, memory, wall-clock and output-size caps, no network, and a read-only filesystem.</w:t>
      </w:r>
    </w:p>
    <w:p>
      <w:pPr>
        <w:pStyle w:val="Compact"/>
        <w:numPr>
          <w:ilvl w:val="0"/>
          <w:numId w:val="1015"/>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07"/>
    <w:bookmarkStart w:id="108"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08"/>
    <w:bookmarkEnd w:id="109"/>
    <w:bookmarkStart w:id="121"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0"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0"/>
    <w:bookmarkStart w:id="118"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1" w:name="principles"/>
    <w:p>
      <w:pPr>
        <w:pStyle w:val="Heading4"/>
      </w:pPr>
      <w:r>
        <w:t xml:space="preserve">18.2.1 Principles</w:t>
      </w:r>
    </w:p>
    <w:p>
      <w:pPr>
        <w:pStyle w:val="Compact"/>
        <w:numPr>
          <w:ilvl w:val="0"/>
          <w:numId w:val="1016"/>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6"/>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6"/>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6"/>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6"/>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1"/>
    <w:bookmarkStart w:id="112"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2"/>
    <w:bookmarkStart w:id="113"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7"/>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7"/>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7"/>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7"/>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7"/>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7"/>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3"/>
    <w:bookmarkStart w:id="114"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w:t>
      </w:r>
      <w:r>
        <w:br/>
      </w:r>
      <w:r>
        <w:rPr>
          <w:rStyle w:val="NormalTok"/>
        </w:rPr>
        <w:t xml:space="preserve">    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4"/>
    <w:bookmarkStart w:id="115"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w:t>
            </w:r>
            <w:r>
              <w:t xml:space="preserve"> </w:t>
            </w:r>
            <w:r>
              <w:rPr>
                <w:i/>
                <w:iCs/>
              </w:rPr>
              <w:t xml:space="preserve">Revision 2.5:</w:t>
            </w:r>
            <w:r>
              <w:t xml:space="preserve"> </w:t>
            </w:r>
            <w:r>
              <w:t xml:space="preserve">“definitions and live resolutions are never cached”</w:t>
            </w:r>
            <w:r>
              <w:t xml:space="preserve"> </w:t>
            </w:r>
            <w:r>
              <w:t xml:space="preserve">was too absolute once conditional requests existed — a definition or a listing is held only against the</w:t>
            </w:r>
            <w:r>
              <w:t xml:space="preserve"> </w:t>
            </w:r>
            <w:r>
              <w:rPr>
                <w:rStyle w:val="VerbatimChar"/>
              </w:rPr>
              <w:t xml:space="preserve">ETag</w:t>
            </w:r>
            <w:r>
              <w:t xml:space="preserve"> </w:t>
            </w:r>
            <w:r>
              <w:t xml:space="preserve">MAYA issued for it and re-served only when the server answers 304, so nothing reaches the caller that the server has not just re-affirmed; a live resolution is never held at all</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5"/>
    <w:bookmarkStart w:id="116"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6"/>
    <w:bookmarkStart w:id="117"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17"/>
    <w:bookmarkEnd w:id="118"/>
    <w:bookmarkStart w:id="119"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admin user|role|grant|policy</w:t>
      </w:r>
      <w:r>
        <w:t xml:space="preserve">,</w:t>
      </w:r>
      <w:r>
        <w:t xml:space="preserve"> </w:t>
      </w:r>
      <w:r>
        <w:rPr>
          <w:rStyle w:val="VerbatimChar"/>
        </w:rPr>
        <w:t xml:space="preserve">maya export bundle|verify</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bookmarkEnd w:id="119"/>
    <w:bookmarkStart w:id="120"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0"/>
    <w:bookmarkEnd w:id="121"/>
    <w:bookmarkStart w:id="122"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18"/>
        </w:numPr>
      </w:pPr>
      <w:r>
        <w:rPr>
          <w:i/>
          <w:iCs/>
        </w:rPr>
        <w:t xml:space="preserve">Upstream</w:t>
      </w:r>
      <w:r>
        <w:t xml:space="preserve">: given this production number, what model, parameters, feature set, features, sources and people produced it?</w:t>
      </w:r>
    </w:p>
    <w:p>
      <w:pPr>
        <w:pStyle w:val="Compact"/>
        <w:numPr>
          <w:ilvl w:val="0"/>
          <w:numId w:val="1018"/>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2"/>
    <w:bookmarkStart w:id="123" w:name="observability-and-operations"/>
    <w:p>
      <w:pPr>
        <w:pStyle w:val="Heading2"/>
      </w:pPr>
      <w:r>
        <w:t xml:space="preserve">20. Observability and operations</w:t>
      </w:r>
    </w:p>
    <w:p>
      <w:pPr>
        <w:pStyle w:val="FirstParagraph"/>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3"/>
    <w:bookmarkStart w:id="127" w:name="security-and-model-risk-governance"/>
    <w:p>
      <w:pPr>
        <w:pStyle w:val="Heading2"/>
      </w:pPr>
      <w:r>
        <w:t xml:space="preserve">21. Security and model risk governance</w:t>
      </w:r>
    </w:p>
    <w:bookmarkStart w:id="124"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4"/>
    <w:bookmarkStart w:id="125"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5"/>
    <w:bookmarkStart w:id="126"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19"/>
        </w:numPr>
      </w:pPr>
      <w:r>
        <w:rPr>
          <w:b/>
          <w:bCs/>
        </w:rPr>
        <w:t xml:space="preserve">Inventory</w:t>
      </w:r>
      <w:r>
        <w:t xml:space="preserve">: a complete, queryable register of models, their versions, owners, maturity, dependencies and use, exportable on demand.</w:t>
      </w:r>
    </w:p>
    <w:p>
      <w:pPr>
        <w:pStyle w:val="Compact"/>
        <w:numPr>
          <w:ilvl w:val="0"/>
          <w:numId w:val="1019"/>
        </w:numPr>
      </w:pPr>
      <w:r>
        <w:rPr>
          <w:b/>
          <w:bCs/>
        </w:rPr>
        <w:t xml:space="preserve">Documentation</w:t>
      </w:r>
      <w:r>
        <w:t xml:space="preserve">: the spec document is mandatory, structured and versioned with the model.</w:t>
      </w:r>
    </w:p>
    <w:p>
      <w:pPr>
        <w:pStyle w:val="Compact"/>
        <w:numPr>
          <w:ilvl w:val="0"/>
          <w:numId w:val="1019"/>
        </w:numPr>
      </w:pPr>
      <w:r>
        <w:rPr>
          <w:b/>
          <w:bCs/>
        </w:rPr>
        <w:t xml:space="preserve">Independent review</w:t>
      </w:r>
      <w:r>
        <w:t xml:space="preserve">: segregation of duties enforced in workflow; validator comments and conclusions recorded against a version.</w:t>
      </w:r>
    </w:p>
    <w:p>
      <w:pPr>
        <w:pStyle w:val="Compact"/>
        <w:numPr>
          <w:ilvl w:val="0"/>
          <w:numId w:val="1019"/>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19"/>
        </w:numPr>
      </w:pPr>
      <w:r>
        <w:rPr>
          <w:b/>
          <w:bCs/>
        </w:rPr>
        <w:t xml:space="preserve">Limitations and assumptions</w:t>
      </w:r>
      <w:r>
        <w:t xml:space="preserve">: required sections that block approval when empty.</w:t>
      </w:r>
    </w:p>
    <w:p>
      <w:pPr>
        <w:pStyle w:val="Compact"/>
        <w:numPr>
          <w:ilvl w:val="0"/>
          <w:numId w:val="1019"/>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19"/>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6"/>
    <w:bookmarkEnd w:id="127"/>
    <w:bookmarkStart w:id="132" w:name="engineering-standards"/>
    <w:p>
      <w:pPr>
        <w:pStyle w:val="Heading2"/>
      </w:pPr>
      <w:r>
        <w:t xml:space="preserve">22. Engineering standards</w:t>
      </w:r>
    </w:p>
    <w:bookmarkStart w:id="128"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0"/>
        </w:numPr>
      </w:pPr>
      <w:r>
        <w:t xml:space="preserve">One aggregate per module; one responsibility per class.</w:t>
      </w:r>
    </w:p>
    <w:p>
      <w:pPr>
        <w:pStyle w:val="Compact"/>
        <w:numPr>
          <w:ilvl w:val="0"/>
          <w:numId w:val="1020"/>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0"/>
        </w:numPr>
      </w:pPr>
      <w:r>
        <w:t xml:space="preserve">Composition over inheritance; inheritance depth capped at 3.</w:t>
      </w:r>
    </w:p>
    <w:p>
      <w:pPr>
        <w:pStyle w:val="Compact"/>
        <w:numPr>
          <w:ilvl w:val="0"/>
          <w:numId w:val="1020"/>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0"/>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28"/>
    <w:bookmarkStart w:id="129"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29"/>
    <w:bookmarkStart w:id="130"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bookmarkEnd w:id="130"/>
    <w:bookmarkStart w:id="131"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1"/>
    <w:bookmarkEnd w:id="132"/>
    <w:bookmarkStart w:id="133"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3"/>
    <w:bookmarkStart w:id="139" w:name="deployment-configuration-and-capacity"/>
    <w:p>
      <w:pPr>
        <w:pStyle w:val="Heading2"/>
      </w:pPr>
      <w:r>
        <w:t xml:space="preserve">24. Deployment, configuration and capacity</w:t>
      </w:r>
    </w:p>
    <w:bookmarkStart w:id="134"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34"/>
    <w:bookmarkStart w:id="135"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35"/>
    <w:bookmarkStart w:id="136"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36"/>
    <w:bookmarkStart w:id="137"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37"/>
    <w:bookmarkStart w:id="138"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38"/>
    <w:bookmarkEnd w:id="139"/>
    <w:bookmarkStart w:id="140"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the local filesystem (</w:t>
            </w:r>
            <w:r>
              <w:rPr>
                <w:i/>
                <w:iCs/>
              </w:rPr>
              <w:t xml:space="preserve">Revision 2.5:</w:t>
            </w:r>
            <w:r>
              <w:t xml:space="preserve"> </w:t>
            </w:r>
            <w:r>
              <w:t xml:space="preserve">S3, Azure Blob and GCS are the point’s reason for existing, not something MAYA ships; a deployment that needs one registers a</w:t>
            </w:r>
            <w:r>
              <w:t xml:space="preserve"> </w:t>
            </w:r>
            <w:r>
              <w:rPr>
                <w:rStyle w:val="VerbatimChar"/>
              </w:rPr>
              <w:t xml:space="preserve">LakeStore</w:t>
            </w:r>
            <w:r>
              <w:t xml:space="preserve"> </w:t>
            </w:r>
            <w:r>
              <w:t xml:space="preserve">at this point)</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The formula IR evaluator (</w:t>
            </w:r>
            <w:r>
              <w:rPr>
                <w:i/>
                <w:iCs/>
              </w:rPr>
              <w:t xml:space="preserve">Revision 2.5:</w:t>
            </w:r>
            <w:r>
              <w:t xml:space="preserve"> </w:t>
            </w:r>
            <w:r>
              <w:t xml:space="preserve">blind scoring only, per ADR-007. MAYA executes no model code, so ONNX and PMML are candidates for a plugin at this point, not for the core)</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MAYA’s own inverted index, on both databases (Revision 2.4, ADR-019)</w:t>
            </w:r>
          </w:p>
        </w:tc>
      </w:tr>
    </w:tbl>
    <w:p>
      <w:pPr>
        <w:pStyle w:val="BodyText"/>
      </w:pPr>
      <w:r>
        <w:t xml:space="preserve">A plugin declares its name, version, configuration schema and required capabilities, and is listed on an admin page with its status.</w:t>
      </w:r>
      <w:r>
        <w:t xml:space="preserve"> </w:t>
      </w:r>
      <w:r>
        <w:rPr>
          <w:i/>
          <w:iCs/>
        </w:rPr>
        <w:t xml:space="preserve">Revision 2.5:</w:t>
      </w:r>
      <w:r>
        <w:t xml:space="preserve"> </w:t>
      </w:r>
      <w:r>
        <w:t xml:space="preserve">the second half of that promise cannot be kept as it was written. An entry-point plugin is imported into MAYA’s own process and runs with MAYA’s privileges — it can reach the database and the signing key — so the sandbox rules for user Python, which exist because that code runs in a container with no network and no credentials, do not apply to it and no amount of care makes them apply. What MAYA does instead is make loading one an explicit decision: a third-party plugin loads only when</w:t>
      </w:r>
      <w:r>
        <w:t xml:space="preserve"> </w:t>
      </w:r>
      <w:r>
        <w:rPr>
          <w:rStyle w:val="VerbatimChar"/>
        </w:rPr>
        <w:t xml:space="preserve">plugins.allow</w:t>
      </w:r>
      <w:r>
        <w:t xml:space="preserve"> </w:t>
      </w:r>
      <w:r>
        <w:t xml:space="preserve">names it, a plugin that is installed and not allowed is shown as refused with that reason rather than silently absent, and one that fails to import is shown as failed with the error instead of stopping MAYA. The sandbox rules continue to govern user Python in a model artifact, which is a different thing at a different trust level.</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0"/>
    <w:bookmarkStart w:id="144" w:name="roadmap-risks-and-open-decisions"/>
    <w:p>
      <w:pPr>
        <w:pStyle w:val="Heading2"/>
      </w:pPr>
      <w:r>
        <w:t xml:space="preserve">26. Roadmap, risks and open decisions</w:t>
      </w:r>
    </w:p>
    <w:bookmarkStart w:id="141"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1"/>
    <w:bookmarkStart w:id="142"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2"/>
    <w:bookmarkStart w:id="143"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1"/>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(3 roles),</w:t>
      </w:r>
      <w:r>
        <w:t xml:space="preserve"> </w:t>
      </w:r>
      <w:r>
        <w:rPr>
          <w:i/>
          <w:iCs/>
        </w:rPr>
        <w:t xml:space="preserve">Standard</w:t>
      </w:r>
      <w:r>
        <w:t xml:space="preserve"> </w:t>
      </w:r>
      <w:r>
        <w:t xml:space="preserve">(6) or</w:t>
      </w:r>
      <w:r>
        <w:t xml:space="preserve"> </w:t>
      </w:r>
      <w:r>
        <w:rPr>
          <w:i/>
          <w:iCs/>
        </w:rPr>
        <w:t xml:space="preserve">Regulated</w:t>
      </w:r>
      <w:r>
        <w:t xml:space="preserve"> </w:t>
      </w:r>
      <w:r>
        <w:t xml:space="preserve">(all 8, strict) (§28.9). All three ship; the question is what the seeded</w:t>
      </w:r>
      <w:r>
        <w:t xml:space="preserve"> </w:t>
      </w:r>
      <w:r>
        <w:t xml:space="preserve">namespaces get.</w:t>
      </w:r>
    </w:p>
    <w:p>
      <w:pPr>
        <w:pStyle w:val="Compact"/>
        <w:numPr>
          <w:ilvl w:val="0"/>
          <w:numId w:val="1021"/>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3"/>
    <w:bookmarkEnd w:id="144"/>
    <w:bookmarkStart w:id="160"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bookmarkStart w:id="149"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45">
              <w:r>
                <w:rPr>
                  <w:rStyle w:val="Hyperlink"/>
                </w:rPr>
                <w:t xml:space="preserve">Tecton</w:t>
              </w:r>
            </w:hyperlink>
            <w:r>
              <w:t xml:space="preserve">,</w:t>
            </w:r>
            <w:r>
              <w:t xml:space="preserve"> </w:t>
            </w:r>
            <w:hyperlink r:id="rId146">
              <w:r>
                <w:rPr>
                  <w:rStyle w:val="Hyperlink"/>
                </w:rPr>
                <w:t xml:space="preserve">Feast</w:t>
              </w:r>
            </w:hyperlink>
            <w:r>
              <w:t xml:space="preserve"> </w:t>
            </w:r>
            <w:r>
              <w:t xml:space="preserve">(Linux Foundation), Databricks Feature Engineering,</w:t>
            </w:r>
            <w:r>
              <w:t xml:space="preserve"> </w:t>
            </w:r>
            <w:hyperlink r:id="rId147">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48">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49"/>
    <w:bookmarkStart w:id="150"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0"/>
    <w:bookmarkStart w:id="151"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1"/>
    <w:bookmarkStart w:id="159"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2">
        <w:r>
          <w:rPr>
            <w:rStyle w:val="Hyperlink"/>
          </w:rPr>
          <w:t xml:space="preserve">SR 26-2 analysis, IBM Promontory</w:t>
        </w:r>
      </w:hyperlink>
      <w:r>
        <w:t xml:space="preserve"> </w:t>
      </w:r>
      <w:r>
        <w:t xml:space="preserve">·</w:t>
      </w:r>
      <w:r>
        <w:t xml:space="preserve"> </w:t>
      </w:r>
      <w:hyperlink r:id="rId153">
        <w:r>
          <w:rPr>
            <w:rStyle w:val="Hyperlink"/>
          </w:rPr>
          <w:t xml:space="preserve">Revised MRM guidance, April 2026</w:t>
        </w:r>
      </w:hyperlink>
      <w:r>
        <w:t xml:space="preserve"> </w:t>
      </w:r>
      <w:r>
        <w:t xml:space="preserve">·</w:t>
      </w:r>
      <w:r>
        <w:t xml:space="preserve"> </w:t>
      </w:r>
      <w:hyperlink r:id="rId154">
        <w:r>
          <w:rPr>
            <w:rStyle w:val="Hyperlink"/>
          </w:rPr>
          <w:t xml:space="preserve">MRM software landscape 2026</w:t>
        </w:r>
      </w:hyperlink>
      <w:r>
        <w:t xml:space="preserve"> </w:t>
      </w:r>
      <w:r>
        <w:t xml:space="preserve">·</w:t>
      </w:r>
      <w:r>
        <w:t xml:space="preserve"> </w:t>
      </w:r>
      <w:hyperlink r:id="rId155">
        <w:r>
          <w:rPr>
            <w:rStyle w:val="Hyperlink"/>
          </w:rPr>
          <w:t xml:space="preserve">lakeFS 2025 release review and DVC acquisition</w:t>
        </w:r>
      </w:hyperlink>
      <w:r>
        <w:t xml:space="preserve"> </w:t>
      </w:r>
      <w:r>
        <w:t xml:space="preserve">·</w:t>
      </w:r>
      <w:r>
        <w:t xml:space="preserve"> </w:t>
      </w:r>
      <w:hyperlink r:id="rId156">
        <w:r>
          <w:rPr>
            <w:rStyle w:val="Hyperlink"/>
          </w:rPr>
          <w:t xml:space="preserve">Iceberg branches and tags</w:t>
        </w:r>
      </w:hyperlink>
      <w:r>
        <w:t xml:space="preserve"> </w:t>
      </w:r>
      <w:r>
        <w:t xml:space="preserve">·</w:t>
      </w:r>
      <w:r>
        <w:t xml:space="preserve"> </w:t>
      </w:r>
      <w:hyperlink r:id="rId157">
        <w:r>
          <w:rPr>
            <w:rStyle w:val="Hyperlink"/>
          </w:rPr>
          <w:t xml:space="preserve">Feature store comparison, 2026</w:t>
        </w:r>
      </w:hyperlink>
      <w:r>
        <w:t xml:space="preserve"> </w:t>
      </w:r>
      <w:r>
        <w:t xml:space="preserve">·</w:t>
      </w:r>
      <w:r>
        <w:t xml:space="preserve"> </w:t>
      </w:r>
      <w:hyperlink r:id="rId158">
        <w:r>
          <w:rPr>
            <w:rStyle w:val="Hyperlink"/>
          </w:rPr>
          <w:t xml:space="preserve">AI governance vendor comparison, 2026</w:t>
        </w:r>
      </w:hyperlink>
    </w:p>
    <w:bookmarkEnd w:id="159"/>
    <w:bookmarkEnd w:id="160"/>
    <w:bookmarkStart w:id="172"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1"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1"/>
    <w:bookmarkStart w:id="162"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2"/>
    <w:bookmarkStart w:id="163"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3"/>
    <w:bookmarkStart w:id="164"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64"/>
    <w:bookmarkStart w:id="165"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65"/>
    <w:bookmarkStart w:id="166"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66"/>
    <w:bookmarkStart w:id="167"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67"/>
    <w:bookmarkStart w:id="168"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68"/>
    <w:bookmarkStart w:id="169"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(three roles),</w:t>
      </w:r>
      <w:r>
        <w:t xml:space="preserve"> </w:t>
      </w:r>
      <w:r>
        <w:rPr>
          <w:i/>
          <w:iCs/>
        </w:rPr>
        <w:t xml:space="preserve">Standard</w:t>
      </w:r>
      <w:r>
        <w:t xml:space="preserve"> </w:t>
      </w:r>
      <w:r>
        <w:t xml:space="preserve">(six),</w:t>
      </w:r>
      <w:r>
        <w:t xml:space="preserve"> </w:t>
      </w:r>
      <w:r>
        <w:rPr>
          <w:i/>
          <w:iCs/>
        </w:rPr>
        <w:t xml:space="preserve">Regulated</w:t>
      </w:r>
      <w:r>
        <w:t xml:space="preserve"> </w:t>
      </w:r>
      <w:r>
        <w:t xml:space="preserve">(all eight,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69"/>
    <w:bookmarkStart w:id="170"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0"/>
    <w:bookmarkStart w:id="171"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1"/>
    <w:bookmarkEnd w:id="172"/>
    <w:bookmarkStart w:id="184"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3"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bookmarkEnd w:id="173"/>
    <w:bookmarkStart w:id="174"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the materiality threshold the model version declares (failing that, its namespace’s; failing that, the configured default).</w:t>
      </w:r>
      <w:r>
        <w:t xml:space="preserve"> </w:t>
      </w:r>
      <w:r>
        <w:rPr>
          <w:i/>
          <w:iCs/>
        </w:rPr>
        <w:t xml:space="preserve">Revision 2.5:</w:t>
      </w:r>
      <w:r>
        <w:t xml:space="preserve"> </w:t>
      </w:r>
      <w:r>
        <w:t xml:space="preserve">only the model knows whether its output is a price, a spread in basis points or a probability, so the threshold belongs on the model version and the report says where the figure it used came from.</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w:t>
      </w:r>
      <w:r>
        <w:t xml:space="preserve"> </w:t>
      </w:r>
      <w:r>
        <w:rPr>
          <w:b/>
          <w:bCs/>
        </w:rPr>
        <w:t xml:space="preserve">compute</w:t>
      </w:r>
      <w:r>
        <w:t xml:space="preserve"> </w:t>
      </w:r>
      <w:r>
        <w:t xml:space="preserve">budget — counted in row comparisons per day, and a different thing from the materiality threshold above, which this section originally also called a budget (</w:t>
      </w:r>
      <w:r>
        <w:rPr>
          <w:i/>
          <w:iCs/>
        </w:rPr>
        <w:t xml:space="preserve">Revision 2.5</w:t>
      </w:r>
      <w:r>
        <w:t xml:space="preserve">) — with the sample size, and the share of the population it covers, stated on the report. The sample is the most recent rows of each index rather than a random draw, which is a recency bias and is said so rather than left to be discovered.</w:t>
      </w:r>
    </w:p>
    <w:bookmarkEnd w:id="174"/>
    <w:bookmarkStart w:id="175"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75"/>
    <w:bookmarkStart w:id="176"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76"/>
    <w:bookmarkStart w:id="177"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77"/>
    <w:bookmarkStart w:id="178"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78"/>
    <w:bookmarkStart w:id="179"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a named feature set’s own distributions, outputs compared within a declared tolerance, and counter-examples reported as concrete input rows.</w:t>
      </w:r>
      <w:r>
        <w:t xml:space="preserve"> </w:t>
      </w:r>
      <w:r>
        <w:rPr>
          <w:i/>
          <w:iCs/>
        </w:rPr>
        <w:t xml:space="preserve">Revision 2.5:</w:t>
      </w:r>
      <w:r>
        <w:t xml:space="preserve"> </w:t>
      </w:r>
      <w:r>
        <w:t xml:space="preserve">the domain and the sample count are part of the result, because an agreement over an invented or narrow domain is worth less than it looks. Where no feature set is named the inputs come from a default domain and the report says so; where one is named, the report says which and how many rows it held. MAYA cannot judge whether that domain was representative, and does not pretend to: the domain appears in the check’s own detail, where the reviewer reads it, and sending a version back for a comparison over something wider is a judgement a person makes. What the check establishes is that somebody compared the code with the mathematics over</w:t>
      </w:r>
      <w:r>
        <w:t xml:space="preserve"> </w:t>
      </w:r>
      <w:r>
        <w:rPr>
          <w:i/>
          <w:iCs/>
        </w:rPr>
        <w:t xml:space="preserve">this</w:t>
      </w:r>
      <w:r>
        <w:t xml:space="preserve"> </w:t>
      </w:r>
      <w:r>
        <w:t xml:space="preserve">artifact and they agreed everywhere the comparison looked.</w:t>
      </w:r>
    </w:p>
    <w:p>
      <w:pPr>
        <w:pStyle w:val="BodyText"/>
      </w:pPr>
      <w:r>
        <w:t xml:space="preserve">The result is a statement no other platform can make:</w:t>
      </w:r>
      <w:r>
        <w:t xml:space="preserve"> </w:t>
      </w:r>
      <w:r>
        <w:rPr>
          <w:i/>
          <w:iCs/>
        </w:rPr>
        <w:t xml:space="preserve">the code implements the documentation, checked on 2,000 sampled inputs from a named feature set, at these parameter values, to a relative tolerance of 1e-9</w:t>
      </w:r>
      <w:r>
        <w:t xml:space="preserve"> </w:t>
      </w:r>
      <w:r>
        <w:t xml:space="preserve">(</w:t>
      </w:r>
      <w:r>
        <w:rPr>
          <w:i/>
          <w:iCs/>
        </w:rPr>
        <w:t xml:space="preserve">Revision 2.5:</w:t>
      </w:r>
      <w:r>
        <w:t xml:space="preserve"> </w:t>
      </w:r>
      <w:r>
        <w:t xml:space="preserve">2,000 is the default the service uses and the caller may ask for more; and the</w:t>
      </w:r>
      <w:r>
        <w:t xml:space="preserve"> </w:t>
      </w:r>
      <w:r>
        <w:rPr>
          <w:b/>
          <w:bCs/>
        </w:rPr>
        <w:t xml:space="preserve">parameter values</w:t>
      </w:r>
      <w:r>
        <w:t xml:space="preserve"> </w:t>
      </w:r>
      <w:r>
        <w:t xml:space="preserve">the comparison ran at are part of what it establishes rather than an implementation detail. A signed parameter whose value is zero switches off the term it multiplies, so a comparison run there can agree perfectly with code that computes that term wrongly — which is what happened until the default moved off the midpoint of each bound.)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79"/>
    <w:bookmarkStart w:id="180"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0"/>
    <w:bookmarkStart w:id="181"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1"/>
    <w:bookmarkStart w:id="182"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2"/>
    <w:bookmarkStart w:id="183"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3"/>
    <w:bookmarkEnd w:id="184"/>
    <w:bookmarkStart w:id="188" w:name="appendices"/>
    <w:p>
      <w:pPr>
        <w:pStyle w:val="Heading2"/>
      </w:pPr>
      <w:r>
        <w:t xml:space="preserve">30. Appendices</w:t>
      </w:r>
    </w:p>
    <w:bookmarkStart w:id="185"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85"/>
    <w:bookmarkStart w:id="186"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86"/>
    <w:bookmarkStart w:id="187"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87"/>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hyperlink" Id="rId9" Target="audit/spec-audit-2026-09-19.md" TargetMode="External" /><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2026-09-20T14:21:35Z</dcterms:created>
  <dcterms:modified xsi:type="dcterms:W3CDTF">2026-09-20T14:21:35Z</dcterms:modified>
</cp:coreProperties>
</file>

<file path=docProps/custom.xml><?xml version="1.0" encoding="utf-8"?>
<Properties xmlns="http://schemas.openxmlformats.org/officeDocument/2006/custom-properties" xmlns:vt="http://schemas.openxmlformats.org/officeDocument/2006/docPropsVTypes"/>
</file>