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0.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9"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DecValTok"/>
        </w:rPr>
        <w:t xml:space="preserve">0</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against the model’s declared bounds on upload.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59"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End w:id="59"/>
    <w:bookmarkStart w:id="69"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3" w:name="the-canonical-state-machine"/>
    <w:p>
      <w:pPr>
        <w:pStyle w:val="Heading3"/>
      </w:pPr>
      <w:r>
        <w:t xml:space="preserve">10.1 The canonical state machine</w:t>
      </w:r>
    </w:p>
    <w:p>
      <w:pPr>
        <w:pStyle w:val="FirstParagraph"/>
      </w:pPr>
      <w:r>
        <w:drawing>
          <wp:inline>
            <wp:extent cx="5334000" cy="7216588"/>
            <wp:effectExtent b="0" l="0" r="0" t="0"/>
            <wp:docPr descr="" title="" id="61" name="Picture"/>
            <a:graphic>
              <a:graphicData uri="http://schemas.openxmlformats.org/drawingml/2006/picture">
                <pic:pic>
                  <pic:nvPicPr>
                    <pic:cNvPr descr="diagram-4.png" id="62" name="Picture"/>
                    <pic:cNvPicPr>
                      <a:picLocks noChangeArrowheads="1" noChangeAspect="1"/>
                    </pic:cNvPicPr>
                  </pic:nvPicPr>
                  <pic:blipFill>
                    <a:blip r:embed="rId60"/>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3"/>
    <w:bookmarkStart w:id="64"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4"/>
    <w:bookmarkStart w:id="65"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5"/>
    <w:bookmarkStart w:id="66"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6"/>
    <w:bookmarkStart w:id="67"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7"/>
    <w:bookmarkStart w:id="68"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68"/>
    <w:bookmarkEnd w:id="69"/>
    <w:bookmarkStart w:id="75"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0" w:name="the-four-inputs"/>
    <w:p>
      <w:pPr>
        <w:pStyle w:val="Heading3"/>
      </w:pPr>
      <w:r>
        <w:t xml:space="preserve">11.1 The four inputs</w:t>
      </w:r>
    </w:p>
    <w:p>
      <w:pPr>
        <w:pStyle w:val="Compact"/>
        <w:numPr>
          <w:ilvl w:val="0"/>
          <w:numId w:val="1010"/>
        </w:numPr>
      </w:pPr>
      <w:r>
        <w:rPr>
          <w:b/>
          <w:bCs/>
        </w:rPr>
        <w:t xml:space="preserve">Role capabilities</w:t>
      </w:r>
      <w:r>
        <w:t xml:space="preserve"> </w:t>
      </w:r>
      <w:r>
        <w:t xml:space="preserve">from the user’s roles (section 3), which say what kinds of action are possible at all.</w:t>
      </w:r>
    </w:p>
    <w:p>
      <w:pPr>
        <w:pStyle w:val="Compact"/>
        <w:numPr>
          <w:ilvl w:val="0"/>
          <w:numId w:val="1010"/>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0"/>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0"/>
        </w:numPr>
      </w:pPr>
      <w:r>
        <w:rPr>
          <w:b/>
          <w:bCs/>
        </w:rPr>
        <w:t xml:space="preserve">Object state</w:t>
      </w:r>
      <w:r>
        <w:t xml:space="preserve">: sealed and pinned objects are read-only to everyone including their owner; retired objects are readable only with an explicit audit grant.</w:t>
      </w:r>
    </w:p>
    <w:bookmarkEnd w:id="70"/>
    <w:bookmarkStart w:id="71"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1"/>
        </w:numPr>
      </w:pPr>
      <w:r>
        <w:t xml:space="preserve">Explicit deny on the object for this user → deny.</w:t>
      </w:r>
    </w:p>
    <w:p>
      <w:pPr>
        <w:pStyle w:val="Compact"/>
        <w:numPr>
          <w:ilvl w:val="0"/>
          <w:numId w:val="1011"/>
        </w:numPr>
      </w:pPr>
      <w:r>
        <w:t xml:space="preserve">Explicit user grant on the object → use it.</w:t>
      </w:r>
    </w:p>
    <w:p>
      <w:pPr>
        <w:pStyle w:val="Compact"/>
        <w:numPr>
          <w:ilvl w:val="0"/>
          <w:numId w:val="1011"/>
        </w:numPr>
      </w:pPr>
      <w:r>
        <w:t xml:space="preserve">Group or role grant on the object → highest level among matches.</w:t>
      </w:r>
    </w:p>
    <w:p>
      <w:pPr>
        <w:pStyle w:val="Compact"/>
        <w:numPr>
          <w:ilvl w:val="0"/>
          <w:numId w:val="1011"/>
        </w:numPr>
      </w:pPr>
      <w:r>
        <w:rPr>
          <w:rStyle w:val="VerbatimChar"/>
        </w:rPr>
        <w:t xml:space="preserve">everyone</w:t>
      </w:r>
      <w:r>
        <w:t xml:space="preserve"> </w:t>
      </w:r>
      <w:r>
        <w:t xml:space="preserve">grant on the object → use it.</w:t>
      </w:r>
    </w:p>
    <w:p>
      <w:pPr>
        <w:pStyle w:val="Compact"/>
        <w:numPr>
          <w:ilvl w:val="0"/>
          <w:numId w:val="1011"/>
        </w:numPr>
      </w:pPr>
      <w:r>
        <w:t xml:space="preserve">Inherited namespace default → use it.</w:t>
      </w:r>
    </w:p>
    <w:p>
      <w:pPr>
        <w:pStyle w:val="Compact"/>
        <w:numPr>
          <w:ilvl w:val="0"/>
          <w:numId w:val="1011"/>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1"/>
    <w:bookmarkStart w:id="72"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2"/>
    <w:bookmarkStart w:id="73"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3"/>
    <w:bookmarkStart w:id="74"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4"/>
    <w:bookmarkEnd w:id="75"/>
    <w:bookmarkStart w:id="76"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6"/>
    <w:bookmarkStart w:id="88"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78" name="Picture"/>
            <a:graphic>
              <a:graphicData uri="http://schemas.openxmlformats.org/drawingml/2006/picture">
                <pic:pic>
                  <pic:nvPicPr>
                    <pic:cNvPr descr="diagram-5.png" id="79" name="Picture"/>
                    <pic:cNvPicPr>
                      <a:picLocks noChangeArrowheads="1" noChangeAspect="1"/>
                    </pic:cNvPicPr>
                  </pic:nvPicPr>
                  <pic:blipFill>
                    <a:blip r:embed="rId77"/>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0"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0"/>
    <w:bookmarkStart w:id="81"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1"/>
    <w:bookmarkStart w:id="82"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2.4:</w:t>
      </w:r>
      <w:r>
        <w:t xml:space="preserve"> </w:t>
      </w:r>
      <w:r>
        <w:rPr>
          <w:rStyle w:val="VerbatimChar"/>
        </w:rPr>
        <w:t xml:space="preserve">mode: sso</w:t>
      </w:r>
      <w:r>
        <w:t xml:space="preserve"> </w:t>
      </w:r>
      <w:r>
        <w:t xml:space="preserve">refuses every password sign-in, so the path is restarting in</w:t>
      </w:r>
      <w:r>
        <w:t xml:space="preserve"> </w:t>
      </w:r>
      <w:r>
        <w:rPr>
          <w:rStyle w:val="VerbatimChar"/>
        </w:rPr>
        <w:t xml:space="preserve">mode: hybrid</w:t>
      </w:r>
      <w:r>
        <w:t xml:space="preserve"> </w:t>
      </w:r>
      <w:r>
        <w:t xml:space="preserve">with a database account made beforehand —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2"/>
    <w:bookmarkStart w:id="87"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3"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3"/>
    <w:bookmarkStart w:id="84"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bl>
    <w:bookmarkEnd w:id="84"/>
    <w:bookmarkStart w:id="85" w:name="rules-that-apply-to-every-seam"/>
    <w:p>
      <w:pPr>
        <w:pStyle w:val="Heading4"/>
      </w:pPr>
      <w:r>
        <w:t xml:space="preserve">13.4.3 Rules that apply to every seam</w:t>
      </w:r>
    </w:p>
    <w:p>
      <w:pPr>
        <w:pStyle w:val="Compact"/>
        <w:numPr>
          <w:ilvl w:val="0"/>
          <w:numId w:val="1012"/>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2"/>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2"/>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2"/>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2"/>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2"/>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2"/>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5"/>
    <w:bookmarkStart w:id="86"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3"/>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3"/>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3"/>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3"/>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6"/>
    <w:bookmarkEnd w:id="87"/>
    <w:bookmarkEnd w:id="88"/>
    <w:bookmarkStart w:id="92"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89"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89"/>
    <w:bookmarkStart w:id="90"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0"/>
    <w:bookmarkStart w:id="91"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1"/>
    <w:bookmarkEnd w:id="92"/>
    <w:bookmarkStart w:id="97"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3"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3"/>
    <w:bookmarkStart w:id="94"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4"/>
    <w:bookmarkStart w:id="95"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5"/>
    <w:bookmarkStart w:id="96"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6"/>
    <w:bookmarkEnd w:id="97"/>
    <w:bookmarkStart w:id="105"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98"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bookmarkEnd w:id="98"/>
    <w:bookmarkStart w:id="99"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bookmarkEnd w:id="99"/>
    <w:bookmarkStart w:id="100"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bookmarkEnd w:id="100"/>
    <w:bookmarkStart w:id="101"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1"/>
    <w:bookmarkStart w:id="102"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2"/>
    <w:bookmarkStart w:id="103"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3"/>
    <w:bookmarkStart w:id="104"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4"/>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4"/>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4"/>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4"/>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4"/>
    <w:bookmarkEnd w:id="105"/>
    <w:bookmarkStart w:id="109"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6"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6"/>
    <w:bookmarkStart w:id="107"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5"/>
        </w:numPr>
      </w:pPr>
      <w:r>
        <w:t xml:space="preserve">Parse and lint (</w:t>
      </w:r>
      <w:r>
        <w:rPr>
          <w:rStyle w:val="VerbatimChar"/>
        </w:rPr>
        <w:t xml:space="preserve">ruff</w:t>
      </w:r>
      <w:r>
        <w:t xml:space="preserve">), with a MAYA rule set.</w:t>
      </w:r>
    </w:p>
    <w:p>
      <w:pPr>
        <w:pStyle w:val="Compact"/>
        <w:numPr>
          <w:ilvl w:val="0"/>
          <w:numId w:val="1015"/>
        </w:numPr>
      </w:pPr>
      <w:r>
        <w:t xml:space="preserve">Entry point and signature check against the declared interface.</w:t>
      </w:r>
    </w:p>
    <w:p>
      <w:pPr>
        <w:pStyle w:val="Compact"/>
        <w:numPr>
          <w:ilvl w:val="0"/>
          <w:numId w:val="1015"/>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5"/>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5"/>
        </w:numPr>
      </w:pPr>
      <w:r>
        <w:t xml:space="preserve">Smoke run in a sandboxed subprocess against a sample from the declared feature set, with CPU, memory, wall-clock and output-size caps, no network, and a read-only filesystem.</w:t>
      </w:r>
    </w:p>
    <w:p>
      <w:pPr>
        <w:pStyle w:val="Compact"/>
        <w:numPr>
          <w:ilvl w:val="0"/>
          <w:numId w:val="1015"/>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07"/>
    <w:bookmarkStart w:id="108"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08"/>
    <w:bookmarkEnd w:id="109"/>
    <w:bookmarkStart w:id="121"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0"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0"/>
    <w:bookmarkStart w:id="118"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1" w:name="principles"/>
    <w:p>
      <w:pPr>
        <w:pStyle w:val="Heading4"/>
      </w:pPr>
      <w:r>
        <w:t xml:space="preserve">18.2.1 Principles</w:t>
      </w:r>
    </w:p>
    <w:p>
      <w:pPr>
        <w:pStyle w:val="Compact"/>
        <w:numPr>
          <w:ilvl w:val="0"/>
          <w:numId w:val="1016"/>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6"/>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6"/>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6"/>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6"/>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1"/>
    <w:bookmarkStart w:id="112"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2"/>
    <w:bookmarkStart w:id="113"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7"/>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7"/>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7"/>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7"/>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7"/>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7"/>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3"/>
    <w:bookmarkStart w:id="114"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4"/>
    <w:bookmarkStart w:id="115"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 definitions and live resolutions are never cached</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5"/>
    <w:bookmarkStart w:id="116"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6"/>
    <w:bookmarkStart w:id="117"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17"/>
    <w:bookmarkEnd w:id="118"/>
    <w:bookmarkStart w:id="119"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admin user|role|grant|policy</w:t>
      </w:r>
      <w:r>
        <w:t xml:space="preserve">,</w:t>
      </w:r>
      <w:r>
        <w:t xml:space="preserve"> </w:t>
      </w:r>
      <w:r>
        <w:rPr>
          <w:rStyle w:val="VerbatimChar"/>
        </w:rPr>
        <w:t xml:space="preserve">maya export bundle|verify</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bookmarkEnd w:id="119"/>
    <w:bookmarkStart w:id="120"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0"/>
    <w:bookmarkEnd w:id="121"/>
    <w:bookmarkStart w:id="122"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18"/>
        </w:numPr>
      </w:pPr>
      <w:r>
        <w:rPr>
          <w:i/>
          <w:iCs/>
        </w:rPr>
        <w:t xml:space="preserve">Upstream</w:t>
      </w:r>
      <w:r>
        <w:t xml:space="preserve">: given this production number, what model, parameters, feature set, features, sources and people produced it?</w:t>
      </w:r>
    </w:p>
    <w:p>
      <w:pPr>
        <w:pStyle w:val="Compact"/>
        <w:numPr>
          <w:ilvl w:val="0"/>
          <w:numId w:val="1018"/>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2"/>
    <w:bookmarkStart w:id="123" w:name="observability-and-operations"/>
    <w:p>
      <w:pPr>
        <w:pStyle w:val="Heading2"/>
      </w:pPr>
      <w:r>
        <w:t xml:space="preserve">20. Observability and operations</w:t>
      </w:r>
    </w:p>
    <w:p>
      <w:pPr>
        <w:pStyle w:val="FirstParagraph"/>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3"/>
    <w:bookmarkStart w:id="127" w:name="security-and-model-risk-governance"/>
    <w:p>
      <w:pPr>
        <w:pStyle w:val="Heading2"/>
      </w:pPr>
      <w:r>
        <w:t xml:space="preserve">21. Security and model risk governance</w:t>
      </w:r>
    </w:p>
    <w:bookmarkStart w:id="124"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4"/>
    <w:bookmarkStart w:id="125"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5"/>
    <w:bookmarkStart w:id="126"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19"/>
        </w:numPr>
      </w:pPr>
      <w:r>
        <w:rPr>
          <w:b/>
          <w:bCs/>
        </w:rPr>
        <w:t xml:space="preserve">Inventory</w:t>
      </w:r>
      <w:r>
        <w:t xml:space="preserve">: a complete, queryable register of models, their versions, owners, maturity, dependencies and use, exportable on demand.</w:t>
      </w:r>
    </w:p>
    <w:p>
      <w:pPr>
        <w:pStyle w:val="Compact"/>
        <w:numPr>
          <w:ilvl w:val="0"/>
          <w:numId w:val="1019"/>
        </w:numPr>
      </w:pPr>
      <w:r>
        <w:rPr>
          <w:b/>
          <w:bCs/>
        </w:rPr>
        <w:t xml:space="preserve">Documentation</w:t>
      </w:r>
      <w:r>
        <w:t xml:space="preserve">: the spec document is mandatory, structured and versioned with the model.</w:t>
      </w:r>
    </w:p>
    <w:p>
      <w:pPr>
        <w:pStyle w:val="Compact"/>
        <w:numPr>
          <w:ilvl w:val="0"/>
          <w:numId w:val="1019"/>
        </w:numPr>
      </w:pPr>
      <w:r>
        <w:rPr>
          <w:b/>
          <w:bCs/>
        </w:rPr>
        <w:t xml:space="preserve">Independent review</w:t>
      </w:r>
      <w:r>
        <w:t xml:space="preserve">: segregation of duties enforced in workflow; validator comments and conclusions recorded against a version.</w:t>
      </w:r>
    </w:p>
    <w:p>
      <w:pPr>
        <w:pStyle w:val="Compact"/>
        <w:numPr>
          <w:ilvl w:val="0"/>
          <w:numId w:val="1019"/>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19"/>
        </w:numPr>
      </w:pPr>
      <w:r>
        <w:rPr>
          <w:b/>
          <w:bCs/>
        </w:rPr>
        <w:t xml:space="preserve">Limitations and assumptions</w:t>
      </w:r>
      <w:r>
        <w:t xml:space="preserve">: required sections that block approval when empty.</w:t>
      </w:r>
    </w:p>
    <w:p>
      <w:pPr>
        <w:pStyle w:val="Compact"/>
        <w:numPr>
          <w:ilvl w:val="0"/>
          <w:numId w:val="1019"/>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19"/>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6"/>
    <w:bookmarkEnd w:id="127"/>
    <w:bookmarkStart w:id="132" w:name="engineering-standards"/>
    <w:p>
      <w:pPr>
        <w:pStyle w:val="Heading2"/>
      </w:pPr>
      <w:r>
        <w:t xml:space="preserve">22. Engineering standards</w:t>
      </w:r>
    </w:p>
    <w:bookmarkStart w:id="128"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0"/>
        </w:numPr>
      </w:pPr>
      <w:r>
        <w:t xml:space="preserve">One aggregate per module; one responsibility per class.</w:t>
      </w:r>
    </w:p>
    <w:p>
      <w:pPr>
        <w:pStyle w:val="Compact"/>
        <w:numPr>
          <w:ilvl w:val="0"/>
          <w:numId w:val="1020"/>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0"/>
        </w:numPr>
      </w:pPr>
      <w:r>
        <w:t xml:space="preserve">Composition over inheritance; inheritance depth capped at 3.</w:t>
      </w:r>
    </w:p>
    <w:p>
      <w:pPr>
        <w:pStyle w:val="Compact"/>
        <w:numPr>
          <w:ilvl w:val="0"/>
          <w:numId w:val="1020"/>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0"/>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28"/>
    <w:bookmarkStart w:id="129"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29"/>
    <w:bookmarkStart w:id="130"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bookmarkEnd w:id="130"/>
    <w:bookmarkStart w:id="131"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1"/>
    <w:bookmarkEnd w:id="132"/>
    <w:bookmarkStart w:id="133"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3"/>
    <w:bookmarkStart w:id="139" w:name="deployment-configuration-and-capacity"/>
    <w:p>
      <w:pPr>
        <w:pStyle w:val="Heading2"/>
      </w:pPr>
      <w:r>
        <w:t xml:space="preserve">24. Deployment, configuration and capacity</w:t>
      </w:r>
    </w:p>
    <w:bookmarkStart w:id="134"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4"/>
    <w:bookmarkStart w:id="135"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35"/>
    <w:bookmarkStart w:id="136"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36"/>
    <w:bookmarkStart w:id="137"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37"/>
    <w:bookmarkStart w:id="138"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38"/>
    <w:bookmarkEnd w:id="139"/>
    <w:bookmarkStart w:id="140"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local FS, S3, Azure Blob, GCS</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Python; ONNX and PMML as v2.2 candidates</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PostgreSQL FTS, SQLite FTS5 (</w:t>
            </w:r>
            <w:r>
              <w:rPr>
                <w:i/>
                <w:iCs/>
              </w:rPr>
              <w:t xml:space="preserve">Revision 2.4:</w:t>
            </w:r>
            <w:r>
              <w:t xml:space="preserve"> </w:t>
            </w:r>
            <w:r>
              <w:t xml:space="preserve">MAYA’s own inverted index ships on both, ADR-019)</w:t>
            </w:r>
          </w:p>
        </w:tc>
      </w:tr>
    </w:tbl>
    <w:p>
      <w:pPr>
        <w:pStyle w:val="BodyText"/>
      </w:pPr>
      <w:r>
        <w:t xml:space="preserve">A plugin declares its name, version, configuration schema and required capabilities, and is listed on an admin page with its status. Untrusted plugins run under the same sandbox rules as user Python.</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0"/>
    <w:bookmarkStart w:id="144" w:name="roadmap-risks-and-open-decisions"/>
    <w:p>
      <w:pPr>
        <w:pStyle w:val="Heading2"/>
      </w:pPr>
      <w:r>
        <w:t xml:space="preserve">26. Roadmap, risks and open decisions</w:t>
      </w:r>
    </w:p>
    <w:bookmarkStart w:id="141"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1"/>
    <w:bookmarkStart w:id="142"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2"/>
    <w:bookmarkStart w:id="143"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1"/>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1"/>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3"/>
    <w:bookmarkEnd w:id="144"/>
    <w:bookmarkStart w:id="160"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bookmarkStart w:id="149"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45">
              <w:r>
                <w:rPr>
                  <w:rStyle w:val="Hyperlink"/>
                </w:rPr>
                <w:t xml:space="preserve">Tecton</w:t>
              </w:r>
            </w:hyperlink>
            <w:r>
              <w:t xml:space="preserve">,</w:t>
            </w:r>
            <w:r>
              <w:t xml:space="preserve"> </w:t>
            </w:r>
            <w:hyperlink r:id="rId146">
              <w:r>
                <w:rPr>
                  <w:rStyle w:val="Hyperlink"/>
                </w:rPr>
                <w:t xml:space="preserve">Feast</w:t>
              </w:r>
            </w:hyperlink>
            <w:r>
              <w:t xml:space="preserve"> </w:t>
            </w:r>
            <w:r>
              <w:t xml:space="preserve">(Linux Foundation), Databricks Feature Engineering,</w:t>
            </w:r>
            <w:r>
              <w:t xml:space="preserve"> </w:t>
            </w:r>
            <w:hyperlink r:id="rId147">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48">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49"/>
    <w:bookmarkStart w:id="150"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0"/>
    <w:bookmarkStart w:id="151"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1"/>
    <w:bookmarkStart w:id="159"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2">
        <w:r>
          <w:rPr>
            <w:rStyle w:val="Hyperlink"/>
          </w:rPr>
          <w:t xml:space="preserve">SR 26-2 analysis, IBM Promontory</w:t>
        </w:r>
      </w:hyperlink>
      <w:r>
        <w:t xml:space="preserve"> </w:t>
      </w:r>
      <w:r>
        <w:t xml:space="preserve">·</w:t>
      </w:r>
      <w:r>
        <w:t xml:space="preserve"> </w:t>
      </w:r>
      <w:hyperlink r:id="rId153">
        <w:r>
          <w:rPr>
            <w:rStyle w:val="Hyperlink"/>
          </w:rPr>
          <w:t xml:space="preserve">Revised MRM guidance, April 2026</w:t>
        </w:r>
      </w:hyperlink>
      <w:r>
        <w:t xml:space="preserve"> </w:t>
      </w:r>
      <w:r>
        <w:t xml:space="preserve">·</w:t>
      </w:r>
      <w:r>
        <w:t xml:space="preserve"> </w:t>
      </w:r>
      <w:hyperlink r:id="rId154">
        <w:r>
          <w:rPr>
            <w:rStyle w:val="Hyperlink"/>
          </w:rPr>
          <w:t xml:space="preserve">MRM software landscape 2026</w:t>
        </w:r>
      </w:hyperlink>
      <w:r>
        <w:t xml:space="preserve"> </w:t>
      </w:r>
      <w:r>
        <w:t xml:space="preserve">·</w:t>
      </w:r>
      <w:r>
        <w:t xml:space="preserve"> </w:t>
      </w:r>
      <w:hyperlink r:id="rId155">
        <w:r>
          <w:rPr>
            <w:rStyle w:val="Hyperlink"/>
          </w:rPr>
          <w:t xml:space="preserve">lakeFS 2025 release review and DVC acquisition</w:t>
        </w:r>
      </w:hyperlink>
      <w:r>
        <w:t xml:space="preserve"> </w:t>
      </w:r>
      <w:r>
        <w:t xml:space="preserve">·</w:t>
      </w:r>
      <w:r>
        <w:t xml:space="preserve"> </w:t>
      </w:r>
      <w:hyperlink r:id="rId156">
        <w:r>
          <w:rPr>
            <w:rStyle w:val="Hyperlink"/>
          </w:rPr>
          <w:t xml:space="preserve">Iceberg branches and tags</w:t>
        </w:r>
      </w:hyperlink>
      <w:r>
        <w:t xml:space="preserve"> </w:t>
      </w:r>
      <w:r>
        <w:t xml:space="preserve">·</w:t>
      </w:r>
      <w:r>
        <w:t xml:space="preserve"> </w:t>
      </w:r>
      <w:hyperlink r:id="rId157">
        <w:r>
          <w:rPr>
            <w:rStyle w:val="Hyperlink"/>
          </w:rPr>
          <w:t xml:space="preserve">Feature store comparison, 2026</w:t>
        </w:r>
      </w:hyperlink>
      <w:r>
        <w:t xml:space="preserve"> </w:t>
      </w:r>
      <w:r>
        <w:t xml:space="preserve">·</w:t>
      </w:r>
      <w:r>
        <w:t xml:space="preserve"> </w:t>
      </w:r>
      <w:hyperlink r:id="rId158">
        <w:r>
          <w:rPr>
            <w:rStyle w:val="Hyperlink"/>
          </w:rPr>
          <w:t xml:space="preserve">AI governance vendor comparison, 2026</w:t>
        </w:r>
      </w:hyperlink>
    </w:p>
    <w:bookmarkEnd w:id="159"/>
    <w:bookmarkEnd w:id="160"/>
    <w:bookmarkStart w:id="172"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1"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1"/>
    <w:bookmarkStart w:id="162"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2"/>
    <w:bookmarkStart w:id="163"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3"/>
    <w:bookmarkStart w:id="164"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4"/>
    <w:bookmarkStart w:id="165"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65"/>
    <w:bookmarkStart w:id="166"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66"/>
    <w:bookmarkStart w:id="167"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67"/>
    <w:bookmarkStart w:id="168"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68"/>
    <w:bookmarkStart w:id="169"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69"/>
    <w:bookmarkStart w:id="170"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0"/>
    <w:bookmarkStart w:id="171"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1"/>
    <w:bookmarkEnd w:id="172"/>
    <w:bookmarkStart w:id="184"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3"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3"/>
    <w:bookmarkStart w:id="174"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a declared materiality threshold.</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 budget, with the sample size stated on the report.</w:t>
      </w:r>
    </w:p>
    <w:bookmarkEnd w:id="174"/>
    <w:bookmarkStart w:id="175"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75"/>
    <w:bookmarkStart w:id="176"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76"/>
    <w:bookmarkStart w:id="177"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77"/>
    <w:bookmarkStart w:id="178"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78"/>
    <w:bookmarkStart w:id="179"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the bound feature set’s own distributions, outputs compared within a declared tolerance, and counter-examples reported as concrete input rows.</w:t>
      </w:r>
    </w:p>
    <w:p>
      <w:pPr>
        <w:pStyle w:val="BodyText"/>
      </w:pPr>
      <w:r>
        <w:t xml:space="preserve">The result is a statement no other platform can make:</w:t>
      </w:r>
      <w:r>
        <w:t xml:space="preserve"> </w:t>
      </w:r>
      <w:r>
        <w:rPr>
          <w:i/>
          <w:iCs/>
        </w:rPr>
        <w:t xml:space="preserve">the code implements the documentation, checked on 10,000 sampled inputs, to a relative tolerance of 1e-9</w:t>
      </w:r>
      <w:r>
        <w:t xml:space="preserve">.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79"/>
    <w:bookmarkStart w:id="180"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0"/>
    <w:bookmarkStart w:id="181"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1"/>
    <w:bookmarkStart w:id="182"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2"/>
    <w:bookmarkStart w:id="183"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3"/>
    <w:bookmarkEnd w:id="184"/>
    <w:bookmarkStart w:id="188" w:name="appendices"/>
    <w:p>
      <w:pPr>
        <w:pStyle w:val="Heading2"/>
      </w:pPr>
      <w:r>
        <w:t xml:space="preserve">30. Appendices</w:t>
      </w:r>
    </w:p>
    <w:bookmarkStart w:id="185"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85"/>
    <w:bookmarkStart w:id="186"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86"/>
    <w:bookmarkStart w:id="187"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87"/>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46" Target="https://feast.dev" TargetMode="External" /><Relationship Type="http://schemas.openxmlformats.org/officeDocument/2006/relationships/hyperlink" Id="rId148" Target="https://lakefs.io" TargetMode="External" /><Relationship Type="http://schemas.openxmlformats.org/officeDocument/2006/relationships/hyperlink" Id="rId155" Target="https://lakefs.io/?p=35090" TargetMode="External" /><Relationship Type="http://schemas.openxmlformats.org/officeDocument/2006/relationships/hyperlink" Id="rId154" Target="https://mitratech.com/resource-hub/blog/top-8-model-risk-management-mrm-software-solutions-for-2026/" TargetMode="External" /><Relationship Type="http://schemas.openxmlformats.org/officeDocument/2006/relationships/hyperlink" Id="rId153" Target="https://www.archerirm.com/post/new-model-risk-management-rules-and-the-effect-on-your-risk-and-compliance-program" TargetMode="External" /><Relationship Type="http://schemas.openxmlformats.org/officeDocument/2006/relationships/hyperlink" Id="rId156" Target="https://www.dremio.com/?p=13096" TargetMode="External" /><Relationship Type="http://schemas.openxmlformats.org/officeDocument/2006/relationships/hyperlink" Id="rId147" Target="https://www.hopsworks.ai" TargetMode="External" /><Relationship Type="http://schemas.openxmlformats.org/officeDocument/2006/relationships/hyperlink" Id="rId152" Target="https://www.ibm.com/downloads/documents/us-en/15db806050424f33" TargetMode="External" /><Relationship Type="http://schemas.openxmlformats.org/officeDocument/2006/relationships/hyperlink" Id="rId158" Target="https://www.modulos.ai/modulos-vs-modelop/" TargetMode="External" /><Relationship Type="http://schemas.openxmlformats.org/officeDocument/2006/relationships/hyperlink" Id="rId157" Target="https://www.tacnode.io/post/how-to-evaluate-a-feature-store" TargetMode="External" /><Relationship Type="http://schemas.openxmlformats.org/officeDocument/2006/relationships/hyperlink" Id="rId145"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2026-09-20T00:36:12Z</dcterms:created>
  <dcterms:modified xsi:type="dcterms:W3CDTF">2026-09-20T00:36:12Z</dcterms:modified>
</cp:coreProperties>
</file>

<file path=docProps/custom.xml><?xml version="1.0" encoding="utf-8"?>
<Properties xmlns="http://schemas.openxmlformats.org/officeDocument/2006/custom-properties" xmlns:vt="http://schemas.openxmlformats.org/officeDocument/2006/docPropsVTypes"/>
</file>