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1.png" ContentType="image/png"/>
  <Override PartName="/word/media/rId50.png" ContentType="image/png"/>
  <Override PartName="/word/media/rId59.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8"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9"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9"/>
    <w:bookmarkStart w:id="10"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0"/>
    <w:bookmarkStart w:id="11"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1"/>
    <w:bookmarkStart w:id="15"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3" name="Picture"/>
            <a:graphic>
              <a:graphicData uri="http://schemas.openxmlformats.org/drawingml/2006/picture">
                <pic:pic>
                  <pic:nvPicPr>
                    <pic:cNvPr descr="diagram-1.png" id="14" name="Picture"/>
                    <pic:cNvPicPr>
                      <a:picLocks noChangeArrowheads="1" noChangeAspect="1"/>
                    </pic:cNvPicPr>
                  </pic:nvPicPr>
                  <pic:blipFill>
                    <a:blip r:embed="rId12"/>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5"/>
    <w:bookmarkStart w:id="27"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6"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migration,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6"/>
    <w:bookmarkStart w:id="17"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7"/>
    <w:bookmarkStart w:id="18"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8"/>
    <w:bookmarkStart w:id="19"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19"/>
    <w:bookmarkStart w:id="20"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0"/>
    <w:bookmarkStart w:id="24"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2" name="Picture"/>
            <a:graphic>
              <a:graphicData uri="http://schemas.openxmlformats.org/drawingml/2006/picture">
                <pic:pic>
                  <pic:nvPicPr>
                    <pic:cNvPr descr="diagram-2.png" id="23" name="Picture"/>
                    <pic:cNvPicPr>
                      <a:picLocks noChangeArrowheads="1" noChangeAspect="1"/>
                    </pic:cNvPicPr>
                  </pic:nvPicPr>
                  <pic:blipFill>
                    <a:blip r:embed="rId21"/>
                    <a:stretch>
                      <a:fillRect/>
                    </a:stretch>
                  </pic:blipFill>
                  <pic:spPr bwMode="auto">
                    <a:xfrm>
                      <a:off x="0" y="0"/>
                      <a:ext cx="5334000" cy="11289754"/>
                    </a:xfrm>
                    <a:prstGeom prst="rect">
                      <a:avLst/>
                    </a:prstGeom>
                    <a:noFill/>
                    <a:ln w="9525">
                      <a:noFill/>
                      <a:headEnd/>
                      <a:tailEnd/>
                    </a:ln>
                  </pic:spPr>
                </pic:pic>
              </a:graphicData>
            </a:graphic>
          </wp:inline>
        </w:drawing>
      </w:r>
    </w:p>
    <w:bookmarkEnd w:id="24"/>
    <w:bookmarkStart w:id="25"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5"/>
    <w:bookmarkStart w:id="26"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6"/>
    <w:bookmarkEnd w:id="27"/>
    <w:bookmarkStart w:id="36"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8"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8"/>
    <w:bookmarkStart w:id="29"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29"/>
    <w:bookmarkStart w:id="30"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0"/>
    <w:bookmarkStart w:id="31"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1"/>
    <w:bookmarkStart w:id="32"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2"/>
    <w:bookmarkStart w:id="33"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3"/>
    <w:bookmarkStart w:id="34"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4"/>
    <w:bookmarkStart w:id="35"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5"/>
    <w:bookmarkEnd w:id="36"/>
    <w:bookmarkStart w:id="41"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7"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7"/>
    <w:bookmarkStart w:id="38"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8"/>
    <w:bookmarkStart w:id="39"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39"/>
    <w:bookmarkStart w:id="40"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0"/>
    <w:bookmarkEnd w:id="41"/>
    <w:bookmarkStart w:id="49"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2"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DecValTok"/>
        </w:rPr>
        <w:t xml:space="preserve">0</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bookmarkEnd w:id="42"/>
    <w:bookmarkStart w:id="43"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3"/>
    <w:bookmarkStart w:id="44"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4"/>
    <w:bookmarkStart w:id="45"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45"/>
    <w:bookmarkStart w:id="46"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6"/>
    <w:bookmarkStart w:id="47"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bookmarkEnd w:id="47"/>
    <w:bookmarkStart w:id="48"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8"/>
    <w:bookmarkEnd w:id="49"/>
    <w:bookmarkStart w:id="58"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3"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1" name="Picture"/>
            <a:graphic>
              <a:graphicData uri="http://schemas.openxmlformats.org/drawingml/2006/picture">
                <pic:pic>
                  <pic:nvPicPr>
                    <pic:cNvPr descr="diagram-3.png" id="52" name="Picture"/>
                    <pic:cNvPicPr>
                      <a:picLocks noChangeArrowheads="1" noChangeAspect="1"/>
                    </pic:cNvPicPr>
                  </pic:nvPicPr>
                  <pic:blipFill>
                    <a:blip r:embed="rId50"/>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3"/>
    <w:bookmarkStart w:id="54"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4"/>
    <w:bookmarkStart w:id="55"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5"/>
    <w:bookmarkStart w:id="56"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6"/>
    <w:bookmarkStart w:id="57"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7"/>
    <w:bookmarkEnd w:id="58"/>
    <w:bookmarkStart w:id="68"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2" w:name="the-canonical-state-machine"/>
    <w:p>
      <w:pPr>
        <w:pStyle w:val="Heading3"/>
      </w:pPr>
      <w:r>
        <w:t xml:space="preserve">10.1 The canonical state machine</w:t>
      </w:r>
    </w:p>
    <w:p>
      <w:pPr>
        <w:pStyle w:val="FirstParagraph"/>
      </w:pPr>
      <w:r>
        <w:drawing>
          <wp:inline>
            <wp:extent cx="5334000" cy="7216588"/>
            <wp:effectExtent b="0" l="0" r="0" t="0"/>
            <wp:docPr descr="" title="" id="60" name="Picture"/>
            <a:graphic>
              <a:graphicData uri="http://schemas.openxmlformats.org/drawingml/2006/picture">
                <pic:pic>
                  <pic:nvPicPr>
                    <pic:cNvPr descr="diagram-4.png" id="61" name="Picture"/>
                    <pic:cNvPicPr>
                      <a:picLocks noChangeArrowheads="1" noChangeAspect="1"/>
                    </pic:cNvPicPr>
                  </pic:nvPicPr>
                  <pic:blipFill>
                    <a:blip r:embed="rId59"/>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2"/>
    <w:bookmarkStart w:id="63"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3"/>
    <w:bookmarkStart w:id="64"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4"/>
    <w:bookmarkStart w:id="65"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5"/>
    <w:bookmarkStart w:id="66"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6"/>
    <w:bookmarkStart w:id="67"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7"/>
    <w:bookmarkEnd w:id="68"/>
    <w:bookmarkStart w:id="74"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69"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69"/>
    <w:bookmarkStart w:id="70"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0"/>
    <w:bookmarkStart w:id="71"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1"/>
    <w:bookmarkStart w:id="72"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2"/>
    <w:bookmarkStart w:id="73"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3"/>
    <w:bookmarkEnd w:id="74"/>
    <w:bookmarkStart w:id="75"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5"/>
    <w:bookmarkStart w:id="87"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7" name="Picture"/>
            <a:graphic>
              <a:graphicData uri="http://schemas.openxmlformats.org/drawingml/2006/picture">
                <pic:pic>
                  <pic:nvPicPr>
                    <pic:cNvPr descr="diagram-5.png" id="78" name="Picture"/>
                    <pic:cNvPicPr>
                      <a:picLocks noChangeArrowheads="1" noChangeAspect="1"/>
                    </pic:cNvPicPr>
                  </pic:nvPicPr>
                  <pic:blipFill>
                    <a:blip r:embed="rId76"/>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79"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79"/>
    <w:bookmarkStart w:id="80"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0"/>
    <w:bookmarkStart w:id="81"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1"/>
    <w:bookmarkStart w:id="86"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2"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2"/>
    <w:bookmarkStart w:id="83"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3"/>
    <w:bookmarkStart w:id="84"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4"/>
    <w:bookmarkStart w:id="85"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5"/>
    <w:bookmarkEnd w:id="86"/>
    <w:bookmarkEnd w:id="87"/>
    <w:bookmarkStart w:id="91"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8"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8"/>
    <w:bookmarkStart w:id="89"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89"/>
    <w:bookmarkStart w:id="90"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0"/>
    <w:bookmarkEnd w:id="91"/>
    <w:bookmarkStart w:id="96"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2"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2"/>
    <w:bookmarkStart w:id="93"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3"/>
    <w:bookmarkStart w:id="94"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4"/>
    <w:bookmarkStart w:id="95"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5"/>
    <w:bookmarkEnd w:id="96"/>
    <w:bookmarkStart w:id="104"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7"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7"/>
    <w:bookmarkStart w:id="98"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8"/>
    <w:bookmarkStart w:id="99"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99"/>
    <w:bookmarkStart w:id="100"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0"/>
    <w:bookmarkStart w:id="101"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1"/>
    <w:bookmarkStart w:id="102"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2"/>
    <w:bookmarkStart w:id="103"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3"/>
    <w:bookmarkEnd w:id="104"/>
    <w:bookmarkStart w:id="108"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5"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5"/>
    <w:bookmarkStart w:id="106"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6"/>
    <w:bookmarkStart w:id="107"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7"/>
    <w:bookmarkEnd w:id="108"/>
    <w:bookmarkStart w:id="120"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09"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09"/>
    <w:bookmarkStart w:id="117"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0"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0"/>
    <w:bookmarkStart w:id="111"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1"/>
    <w:bookmarkStart w:id="112"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2"/>
    <w:bookmarkStart w:id="113"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3"/>
    <w:bookmarkStart w:id="114"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 definitions and live resolutions are never cached</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4"/>
    <w:bookmarkStart w:id="115"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5"/>
    <w:bookmarkStart w:id="116"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6"/>
    <w:bookmarkEnd w:id="117"/>
    <w:bookmarkStart w:id="118"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8"/>
    <w:bookmarkStart w:id="119"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19"/>
    <w:bookmarkEnd w:id="120"/>
    <w:bookmarkStart w:id="121"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1"/>
    <w:bookmarkStart w:id="122"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 Every release carries a changelog entry and a version bump across the same set of files DishtaYantra uses, by the same ritual.</w:t>
      </w:r>
    </w:p>
    <w:bookmarkEnd w:id="122"/>
    <w:bookmarkStart w:id="126" w:name="security-and-model-risk-governance"/>
    <w:p>
      <w:pPr>
        <w:pStyle w:val="Heading2"/>
      </w:pPr>
      <w:r>
        <w:t xml:space="preserve">21. Security and model risk governance</w:t>
      </w:r>
    </w:p>
    <w:bookmarkStart w:id="123"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3"/>
    <w:bookmarkStart w:id="124"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4"/>
    <w:bookmarkStart w:id="125"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5"/>
    <w:bookmarkEnd w:id="126"/>
    <w:bookmarkStart w:id="131" w:name="engineering-standards"/>
    <w:p>
      <w:pPr>
        <w:pStyle w:val="Heading2"/>
      </w:pPr>
      <w:r>
        <w:t xml:space="preserve">22. Engineering standards</w:t>
      </w:r>
    </w:p>
    <w:bookmarkStart w:id="127"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7"/>
    <w:bookmarkStart w:id="128"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8"/>
    <w:bookmarkStart w:id="129"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29"/>
    <w:bookmarkStart w:id="130"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0"/>
    <w:bookmarkEnd w:id="131"/>
    <w:bookmarkStart w:id="132"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canary deployment, and a rollback tested in staging before every production release.</w:t>
      </w:r>
    </w:p>
    <w:bookmarkEnd w:id="132"/>
    <w:bookmarkStart w:id="138" w:name="deployment-configuration-and-capacity"/>
    <w:p>
      <w:pPr>
        <w:pStyle w:val="Heading2"/>
      </w:pPr>
      <w:r>
        <w:t xml:space="preserve">24. Deployment, configuration and capacity</w:t>
      </w:r>
    </w:p>
    <w:bookmarkStart w:id="133"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3"/>
    <w:bookmarkStart w:id="134"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4"/>
    <w:bookmarkStart w:id="135"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5"/>
    <w:bookmarkStart w:id="136"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6"/>
    <w:bookmarkStart w:id="137"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7"/>
    <w:bookmarkEnd w:id="138"/>
    <w:bookmarkStart w:id="139"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local FS, S3, Azure Blob, GCS</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Python; ONNX and PMML as v2.2 candidates</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PostgreSQL FTS, SQLite FTS5</w:t>
            </w:r>
          </w:p>
        </w:tc>
      </w:tr>
    </w:tbl>
    <w:p>
      <w:pPr>
        <w:pStyle w:val="BodyText"/>
      </w:pPr>
      <w:r>
        <w:t xml:space="preserve">A plugin declares its name, version, configuration schema and required capabilities, and is listed on an admin page with its status. Untrusted plugins run under the same sandbox rules as user Python.</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39"/>
    <w:bookmarkStart w:id="143" w:name="roadmap-risks-and-open-decisions"/>
    <w:p>
      <w:pPr>
        <w:pStyle w:val="Heading2"/>
      </w:pPr>
      <w:r>
        <w:t xml:space="preserve">26. Roadmap, risks and open decisions</w:t>
      </w:r>
    </w:p>
    <w:bookmarkStart w:id="140"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0"/>
    <w:bookmarkStart w:id="141"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1"/>
    <w:bookmarkStart w:id="142"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2"/>
    <w:bookmarkEnd w:id="143"/>
    <w:bookmarkStart w:id="159"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8"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4">
              <w:r>
                <w:rPr>
                  <w:rStyle w:val="Hyperlink"/>
                </w:rPr>
                <w:t xml:space="preserve">Tecton</w:t>
              </w:r>
            </w:hyperlink>
            <w:r>
              <w:t xml:space="preserve">,</w:t>
            </w:r>
            <w:r>
              <w:t xml:space="preserve"> </w:t>
            </w:r>
            <w:hyperlink r:id="rId145">
              <w:r>
                <w:rPr>
                  <w:rStyle w:val="Hyperlink"/>
                </w:rPr>
                <w:t xml:space="preserve">Feast</w:t>
              </w:r>
            </w:hyperlink>
            <w:r>
              <w:t xml:space="preserve"> </w:t>
            </w:r>
            <w:r>
              <w:t xml:space="preserve">(Linux Foundation), Databricks Feature Engineering,</w:t>
            </w:r>
            <w:r>
              <w:t xml:space="preserve"> </w:t>
            </w:r>
            <w:hyperlink r:id="rId146">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7">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8"/>
    <w:bookmarkStart w:id="149"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49"/>
    <w:bookmarkStart w:id="150"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0"/>
    <w:bookmarkStart w:id="158"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1">
        <w:r>
          <w:rPr>
            <w:rStyle w:val="Hyperlink"/>
          </w:rPr>
          <w:t xml:space="preserve">SR 26-2 analysis, IBM Promontory</w:t>
        </w:r>
      </w:hyperlink>
      <w:r>
        <w:t xml:space="preserve"> </w:t>
      </w:r>
      <w:r>
        <w:t xml:space="preserve">·</w:t>
      </w:r>
      <w:r>
        <w:t xml:space="preserve"> </w:t>
      </w:r>
      <w:hyperlink r:id="rId152">
        <w:r>
          <w:rPr>
            <w:rStyle w:val="Hyperlink"/>
          </w:rPr>
          <w:t xml:space="preserve">Revised MRM guidance, April 2026</w:t>
        </w:r>
      </w:hyperlink>
      <w:r>
        <w:t xml:space="preserve"> </w:t>
      </w:r>
      <w:r>
        <w:t xml:space="preserve">·</w:t>
      </w:r>
      <w:r>
        <w:t xml:space="preserve"> </w:t>
      </w:r>
      <w:hyperlink r:id="rId153">
        <w:r>
          <w:rPr>
            <w:rStyle w:val="Hyperlink"/>
          </w:rPr>
          <w:t xml:space="preserve">MRM software landscape 2026</w:t>
        </w:r>
      </w:hyperlink>
      <w:r>
        <w:t xml:space="preserve"> </w:t>
      </w:r>
      <w:r>
        <w:t xml:space="preserve">·</w:t>
      </w:r>
      <w:r>
        <w:t xml:space="preserve"> </w:t>
      </w:r>
      <w:hyperlink r:id="rId154">
        <w:r>
          <w:rPr>
            <w:rStyle w:val="Hyperlink"/>
          </w:rPr>
          <w:t xml:space="preserve">lakeFS 2025 release review and DVC acquisition</w:t>
        </w:r>
      </w:hyperlink>
      <w:r>
        <w:t xml:space="preserve"> </w:t>
      </w:r>
      <w:r>
        <w:t xml:space="preserve">·</w:t>
      </w:r>
      <w:r>
        <w:t xml:space="preserve"> </w:t>
      </w:r>
      <w:hyperlink r:id="rId155">
        <w:r>
          <w:rPr>
            <w:rStyle w:val="Hyperlink"/>
          </w:rPr>
          <w:t xml:space="preserve">Iceberg branches and tags</w:t>
        </w:r>
      </w:hyperlink>
      <w:r>
        <w:t xml:space="preserve"> </w:t>
      </w:r>
      <w:r>
        <w:t xml:space="preserve">·</w:t>
      </w:r>
      <w:r>
        <w:t xml:space="preserve"> </w:t>
      </w:r>
      <w:hyperlink r:id="rId156">
        <w:r>
          <w:rPr>
            <w:rStyle w:val="Hyperlink"/>
          </w:rPr>
          <w:t xml:space="preserve">Feature store comparison, 2026</w:t>
        </w:r>
      </w:hyperlink>
      <w:r>
        <w:t xml:space="preserve"> </w:t>
      </w:r>
      <w:r>
        <w:t xml:space="preserve">·</w:t>
      </w:r>
      <w:r>
        <w:t xml:space="preserve"> </w:t>
      </w:r>
      <w:hyperlink r:id="rId157">
        <w:r>
          <w:rPr>
            <w:rStyle w:val="Hyperlink"/>
          </w:rPr>
          <w:t xml:space="preserve">AI governance vendor comparison, 2026</w:t>
        </w:r>
      </w:hyperlink>
    </w:p>
    <w:bookmarkEnd w:id="158"/>
    <w:bookmarkEnd w:id="159"/>
    <w:bookmarkStart w:id="171"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0"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0"/>
    <w:bookmarkStart w:id="161"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1"/>
    <w:bookmarkStart w:id="162"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2"/>
    <w:bookmarkStart w:id="163"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3"/>
    <w:bookmarkStart w:id="164"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4"/>
    <w:bookmarkStart w:id="165"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5"/>
    <w:bookmarkStart w:id="166"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6"/>
    <w:bookmarkStart w:id="167"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7"/>
    <w:bookmarkStart w:id="168"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8"/>
    <w:bookmarkStart w:id="169"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69"/>
    <w:bookmarkStart w:id="170"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0"/>
    <w:bookmarkEnd w:id="171"/>
    <w:bookmarkStart w:id="183"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2"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2"/>
    <w:bookmarkStart w:id="173"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a declared materiality threshold.</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 budget, with the sample size stated on the report.</w:t>
      </w:r>
    </w:p>
    <w:bookmarkEnd w:id="173"/>
    <w:bookmarkStart w:id="174"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4"/>
    <w:bookmarkStart w:id="175"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5"/>
    <w:bookmarkStart w:id="176"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6"/>
    <w:bookmarkStart w:id="177"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7"/>
    <w:bookmarkStart w:id="178"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the bound feature set’s own distributions, outputs compared within a declared tolerance, and counter-examples reported as concrete input rows.</w:t>
      </w:r>
    </w:p>
    <w:p>
      <w:pPr>
        <w:pStyle w:val="BodyText"/>
      </w:pPr>
      <w:r>
        <w:t xml:space="preserve">The result is a statement no other platform can make:</w:t>
      </w:r>
      <w:r>
        <w:t xml:space="preserve"> </w:t>
      </w:r>
      <w:r>
        <w:rPr>
          <w:i/>
          <w:iCs/>
        </w:rPr>
        <w:t xml:space="preserve">the code implements the documentation, checked on 10,000 sampled inputs, to a relative tolerance of 1e-9</w:t>
      </w:r>
      <w:r>
        <w:t xml:space="preserv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8"/>
    <w:bookmarkStart w:id="179"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79"/>
    <w:bookmarkStart w:id="180"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0"/>
    <w:bookmarkStart w:id="181"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1"/>
    <w:bookmarkStart w:id="182"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2"/>
    <w:bookmarkEnd w:id="183"/>
    <w:bookmarkStart w:id="187" w:name="appendices"/>
    <w:p>
      <w:pPr>
        <w:pStyle w:val="Heading2"/>
      </w:pPr>
      <w:r>
        <w:t xml:space="preserve">30. Appendices</w:t>
      </w:r>
    </w:p>
    <w:bookmarkStart w:id="184"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4"/>
    <w:bookmarkStart w:id="185"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5"/>
    <w:bookmarkStart w:id="186"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6"/>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76" Target="media/rId76.png" /><Relationship Type="http://schemas.openxmlformats.org/officeDocument/2006/relationships/hyperlink" Id="rId145" Target="https://feast.dev" TargetMode="External" /><Relationship Type="http://schemas.openxmlformats.org/officeDocument/2006/relationships/hyperlink" Id="rId147" Target="https://lakefs.io" TargetMode="External" /><Relationship Type="http://schemas.openxmlformats.org/officeDocument/2006/relationships/hyperlink" Id="rId154" Target="https://lakefs.io/?p=35090" TargetMode="External" /><Relationship Type="http://schemas.openxmlformats.org/officeDocument/2006/relationships/hyperlink" Id="rId153" Target="https://mitratech.com/resource-hub/blog/top-8-model-risk-management-mrm-software-solutions-for-2026/" TargetMode="External" /><Relationship Type="http://schemas.openxmlformats.org/officeDocument/2006/relationships/hyperlink" Id="rId152" Target="https://www.archerirm.com/post/new-model-risk-management-rules-and-the-effect-on-your-risk-and-compliance-program" TargetMode="External" /><Relationship Type="http://schemas.openxmlformats.org/officeDocument/2006/relationships/hyperlink" Id="rId155" Target="https://www.dremio.com/?p=13096" TargetMode="External" /><Relationship Type="http://schemas.openxmlformats.org/officeDocument/2006/relationships/hyperlink" Id="rId146" Target="https://www.hopsworks.ai" TargetMode="External" /><Relationship Type="http://schemas.openxmlformats.org/officeDocument/2006/relationships/hyperlink" Id="rId151" Target="https://www.ibm.com/downloads/documents/us-en/15db806050424f33" TargetMode="External" /><Relationship Type="http://schemas.openxmlformats.org/officeDocument/2006/relationships/hyperlink" Id="rId157" Target="https://www.modulos.ai/modulos-vs-modelop/" TargetMode="External" /><Relationship Type="http://schemas.openxmlformats.org/officeDocument/2006/relationships/hyperlink" Id="rId156" Target="https://www.tacnode.io/post/how-to-evaluate-a-feature-store" TargetMode="External" /><Relationship Type="http://schemas.openxmlformats.org/officeDocument/2006/relationships/hyperlink" Id="rId144"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145" Target="https://feast.dev" TargetMode="External" /><Relationship Type="http://schemas.openxmlformats.org/officeDocument/2006/relationships/hyperlink" Id="rId147" Target="https://lakefs.io" TargetMode="External" /><Relationship Type="http://schemas.openxmlformats.org/officeDocument/2006/relationships/hyperlink" Id="rId154" Target="https://lakefs.io/?p=35090" TargetMode="External" /><Relationship Type="http://schemas.openxmlformats.org/officeDocument/2006/relationships/hyperlink" Id="rId153" Target="https://mitratech.com/resource-hub/blog/top-8-model-risk-management-mrm-software-solutions-for-2026/" TargetMode="External" /><Relationship Type="http://schemas.openxmlformats.org/officeDocument/2006/relationships/hyperlink" Id="rId152" Target="https://www.archerirm.com/post/new-model-risk-management-rules-and-the-effect-on-your-risk-and-compliance-program" TargetMode="External" /><Relationship Type="http://schemas.openxmlformats.org/officeDocument/2006/relationships/hyperlink" Id="rId155" Target="https://www.dremio.com/?p=13096" TargetMode="External" /><Relationship Type="http://schemas.openxmlformats.org/officeDocument/2006/relationships/hyperlink" Id="rId146" Target="https://www.hopsworks.ai" TargetMode="External" /><Relationship Type="http://schemas.openxmlformats.org/officeDocument/2006/relationships/hyperlink" Id="rId151" Target="https://www.ibm.com/downloads/documents/us-en/15db806050424f33" TargetMode="External" /><Relationship Type="http://schemas.openxmlformats.org/officeDocument/2006/relationships/hyperlink" Id="rId157" Target="https://www.modulos.ai/modulos-vs-modelop/" TargetMode="External" /><Relationship Type="http://schemas.openxmlformats.org/officeDocument/2006/relationships/hyperlink" Id="rId156" Target="https://www.tacnode.io/post/how-to-evaluate-a-feature-store" TargetMode="External" /><Relationship Type="http://schemas.openxmlformats.org/officeDocument/2006/relationships/hyperlink" Id="rId144"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2026-09-19T18:25:58Z</dcterms:created>
  <dcterms:modified xsi:type="dcterms:W3CDTF">2026-09-19T18:25:58Z</dcterms:modified>
</cp:coreProperties>
</file>

<file path=docProps/custom.xml><?xml version="1.0" encoding="utf-8"?>
<Properties xmlns="http://schemas.openxmlformats.org/officeDocument/2006/custom-properties" xmlns:vt="http://schemas.openxmlformats.org/officeDocument/2006/docPropsVTypes"/>
</file>