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5"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2.8 — 2026-09-28.</w:t>
      </w:r>
      <w:r>
        <w:t xml:space="preserve"> </w:t>
      </w:r>
      <w:r>
        <w:t xml:space="preserve">One decision: MAYA generates documents from a model’s record,</w:t>
      </w:r>
      <w:r>
        <w:t xml:space="preserve"> </w:t>
      </w:r>
      <w:r>
        <w:t xml:space="preserve">and may draft their prose with a language model it does not depend on. §21.6 specifies the AI</w:t>
      </w:r>
      <w:r>
        <w:t xml:space="preserve"> </w:t>
      </w:r>
      <w:r>
        <w:t xml:space="preserve">gateway — providers behind one interface at a new extension point,</w:t>
      </w:r>
      <w:r>
        <w:t xml:space="preserve"> </w:t>
      </w:r>
      <w:r>
        <w:rPr>
          <w:rStyle w:val="VerbatimChar"/>
        </w:rPr>
        <w:t xml:space="preserve">llm_provider</w:t>
      </w:r>
      <w:r>
        <w:t xml:space="preserve"> </w:t>
      </w:r>
      <w:r>
        <w:t xml:space="preserve">(§25), and</w:t>
      </w:r>
      <w:r>
        <w:t xml:space="preserve"> </w:t>
      </w:r>
      <w:r>
        <w:t xml:space="preserve">callers that name a logical</w:t>
      </w:r>
      <w:r>
        <w:t xml:space="preserve"> </w:t>
      </w:r>
      <w:r>
        <w:rPr>
          <w:b/>
          <w:bCs/>
        </w:rPr>
        <w:t xml:space="preserve">model profile</w:t>
      </w:r>
      <w:r>
        <w:t xml:space="preserve"> </w:t>
      </w:r>
      <w:r>
        <w:t xml:space="preserve">rather than a provider or a model — and the</w:t>
      </w:r>
      <w:r>
        <w:t xml:space="preserve"> </w:t>
      </w:r>
      <w:r>
        <w:t xml:space="preserve">documents: a model card, a validation report and model documentation, each from a template a</w:t>
      </w:r>
      <w:r>
        <w:t xml:space="preserve"> </w:t>
      </w:r>
      <w:r>
        <w:t xml:space="preserve">firm replaces by placing a file, drafted sections labelled until a second person approves, and</w:t>
      </w:r>
      <w:r>
        <w:t xml:space="preserve"> </w:t>
      </w:r>
      <w:r>
        <w:t xml:space="preserve">the validator’s conclusion never drafted.</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i/>
          <w:iCs/>
        </w:rPr>
        <w:t xml:space="preserve">Revision 2.8:</w:t>
      </w:r>
      <w:r>
        <w:t xml:space="preserve"> </w:t>
      </w:r>
      <w:r>
        <w:rPr>
          <w:b/>
          <w:bCs/>
        </w:rPr>
        <w:t xml:space="preserve">governance metrics</w:t>
      </w:r>
      <w:r>
        <w:t xml:space="preserve">, alongside the platform’s. Gauges for execution warrants by status and those expiring within 7 and 30 days, training warrants and versions by state, models past periodic review by tier, open findings by severity, restatement impacts by state and the age of the oldest unacknowledged one, and documents by state. Counters for covenant breaches by kind, restatement impacts, and every AI gateway call by purpose, provider and outcome, with its tokens and a latency histogram. No label names an object, so the number of series is bounded.</w:t>
      </w:r>
      <w:r>
        <w:t xml:space="preserve"> </w:t>
      </w:r>
      <w:r>
        <w:rPr>
          <w:rStyle w:val="VerbatimChar"/>
        </w:rPr>
        <w:t xml:space="preserve">config/prometheus/maya-governance.rules.yml</w:t>
      </w:r>
      <w:r>
        <w:t xml:space="preserve"> </w:t>
      </w:r>
      <w:r>
        <w:t xml:space="preserve">alerts on them, each alert with a runbook. Two Grafana dashboards, one for the platform and one for model governance, ship in</w:t>
      </w:r>
      <w:r>
        <w:t xml:space="preserve"> </w:t>
      </w:r>
      <w:r>
        <w:rPr>
          <w:rStyle w:val="VerbatimChar"/>
        </w:rPr>
        <w:t xml:space="preserve">config/grafana/</w:t>
      </w:r>
      <w:r>
        <w:t xml:space="preserv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3"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Start w:id="132" w:name="Xa8daebd9b1a293b9ef8afad4048a16b89d4f9fa"/>
    <w:p>
      <w:pPr>
        <w:pStyle w:val="Heading3"/>
      </w:pPr>
      <w:r>
        <w:t xml:space="preserve">21.6 Documents, and the language models that draft them</w:t>
      </w:r>
    </w:p>
    <w:p>
      <w:pPr>
        <w:pStyle w:val="FirstParagraph"/>
      </w:pPr>
      <w:r>
        <w:rPr>
          <w:i/>
          <w:iCs/>
        </w:rPr>
        <w:t xml:space="preserve">Revision 2.8.</w:t>
      </w:r>
    </w:p>
    <w:p>
      <w:pPr>
        <w:pStyle w:val="BodyText"/>
      </w:pPr>
      <w:r>
        <w:rPr>
          <w:b/>
          <w:bCs/>
        </w:rPr>
        <w:t xml:space="preserve">The AI gateway.</w:t>
      </w:r>
      <w:r>
        <w:t xml:space="preserve"> </w:t>
      </w:r>
      <w:r>
        <w:t xml:space="preserve">Every request MAYA makes of a language model goes through one service. A caller</w:t>
      </w:r>
      <w:r>
        <w:t xml:space="preserve"> </w:t>
      </w:r>
      <w:r>
        <w:t xml:space="preserve">names a</w:t>
      </w:r>
      <w:r>
        <w:t xml:space="preserve"> </w:t>
      </w:r>
      <w:r>
        <w:rPr>
          <w:b/>
          <w:bCs/>
        </w:rPr>
        <w:t xml:space="preserve">model profile</w:t>
      </w:r>
      <w:r>
        <w:t xml:space="preserve"> </w:t>
      </w:r>
      <w:r>
        <w:t xml:space="preserve">— a logical model such as</w:t>
      </w:r>
      <w:r>
        <w:t xml:space="preserve"> </w:t>
      </w:r>
      <w:r>
        <w:rPr>
          <w:rStyle w:val="VerbatimChar"/>
        </w:rPr>
        <w:t xml:space="preserve">drafting</w:t>
      </w:r>
      <w:r>
        <w:t xml:space="preserve"> </w:t>
      </w:r>
      <w:r>
        <w:t xml:space="preserve">or</w:t>
      </w:r>
      <w:r>
        <w:t xml:space="preserve"> </w:t>
      </w:r>
      <w:r>
        <w:rPr>
          <w:rStyle w:val="VerbatimChar"/>
        </w:rPr>
        <w:t xml:space="preserve">local</w:t>
      </w:r>
      <w:r>
        <w:t xml:space="preserve"> </w:t>
      </w:r>
      <w:r>
        <w:t xml:space="preserve">— never a provider or a model.</w:t>
      </w:r>
      <w:r>
        <w:t xml:space="preserve"> </w:t>
      </w:r>
      <w:r>
        <w:t xml:space="preserve">Profiles live in</w:t>
      </w:r>
      <w:r>
        <w:t xml:space="preserve"> </w:t>
      </w:r>
      <w:r>
        <w:rPr>
          <w:rStyle w:val="VerbatimChar"/>
        </w:rPr>
        <w:t xml:space="preserve">config/llm_profiles.yaml</w:t>
      </w:r>
      <w:r>
        <w:t xml:space="preserve"> </w:t>
      </w:r>
      <w:r>
        <w:t xml:space="preserve">(</w:t>
      </w:r>
      <w:r>
        <w:rPr>
          <w:rStyle w:val="VerbatimChar"/>
        </w:rPr>
        <w:t xml:space="preserve">llm.profiles_file</w:t>
      </w:r>
      <w:r>
        <w:t xml:space="preserve">): each names a provider, a model, the</w:t>
      </w:r>
      <w:r>
        <w:t xml:space="preserve"> </w:t>
      </w:r>
      <w:r>
        <w:t xml:space="preserve">parameters to ask with (</w:t>
      </w:r>
      <w:r>
        <w:rPr>
          <w:rStyle w:val="VerbatimChar"/>
        </w:rPr>
        <w:t xml:space="preserve">max_tokens</w:t>
      </w:r>
      <w:r>
        <w:t xml:space="preserve">,</w:t>
      </w:r>
      <w:r>
        <w:t xml:space="preserve"> </w:t>
      </w:r>
      <w:r>
        <w:rPr>
          <w:rStyle w:val="VerbatimChar"/>
        </w:rPr>
        <w:t xml:space="preserve">temperature</w:t>
      </w:r>
      <w:r>
        <w:t xml:space="preserve">) and any option of that provider this profile needs</w:t>
      </w:r>
      <w:r>
        <w:t xml:space="preserve"> </w:t>
      </w:r>
      <w:r>
        <w:t xml:space="preserve">differently (a base URL, a region, the environment variable holding a key). Without the file there is one</w:t>
      </w:r>
      <w:r>
        <w:t xml:space="preserve"> </w:t>
      </w:r>
      <w:r>
        <w:t xml:space="preserve">profile,</w:t>
      </w:r>
      <w:r>
        <w:t xml:space="preserve"> </w:t>
      </w:r>
      <w:r>
        <w:rPr>
          <w:rStyle w:val="VerbatimChar"/>
        </w:rPr>
        <w:t xml:space="preserve">default</w:t>
      </w:r>
      <w:r>
        <w:t xml:space="preserve">, from the</w:t>
      </w:r>
      <w:r>
        <w:t xml:space="preserve"> </w:t>
      </w:r>
      <w:r>
        <w:rPr>
          <w:rStyle w:val="VerbatimChar"/>
        </w:rPr>
        <w:t xml:space="preserve">llm.*</w:t>
      </w:r>
      <w:r>
        <w:t xml:space="preserve"> </w:t>
      </w:r>
      <w:r>
        <w:t xml:space="preserve">settings. Providers implement one interface —</w:t>
      </w:r>
      <w:r>
        <w:t xml:space="preserve"> </w:t>
      </w:r>
      <w:r>
        <w:rPr>
          <w:rStyle w:val="VerbatimChar"/>
        </w:rPr>
        <w:t xml:space="preserve">complete(system, messages, max_tokens, temperature)</w:t>
      </w:r>
      <w:r>
        <w:t xml:space="preserve"> </w:t>
      </w:r>
      <w:r>
        <w:t xml:space="preserve">returning text and token counts — and are registered</w:t>
      </w:r>
      <w:r>
        <w:t xml:space="preserve"> </w:t>
      </w:r>
      <w:r>
        <w:t xml:space="preserve">at the</w:t>
      </w:r>
      <w:r>
        <w:t xml:space="preserve"> </w:t>
      </w:r>
      <w:r>
        <w:rPr>
          <w:rStyle w:val="VerbatimChar"/>
        </w:rPr>
        <w:t xml:space="preserve">llm_provider</w:t>
      </w:r>
      <w:r>
        <w:t xml:space="preserve"> </w:t>
      </w:r>
      <w:r>
        <w:t xml:space="preserve">extension point:</w:t>
      </w:r>
      <w:r>
        <w:t xml:space="preserve"> </w:t>
      </w:r>
      <w:r>
        <w:rPr>
          <w:rStyle w:val="VerbatimChar"/>
        </w:rPr>
        <w:t xml:space="preserve">anthropic</w:t>
      </w:r>
      <w:r>
        <w:t xml:space="preserve"> </w:t>
      </w:r>
      <w:r>
        <w:t xml:space="preserve">(the official SDK, streamed, adaptive thinking),</w:t>
      </w:r>
      <w:r>
        <w:t xml:space="preserve"> </w:t>
      </w:r>
      <w:r>
        <w:rPr>
          <w:rStyle w:val="VerbatimChar"/>
        </w:rPr>
        <w:t xml:space="preserve">openai</w:t>
      </w:r>
      <w:r>
        <w:t xml:space="preserve"> </w:t>
      </w:r>
      <w:r>
        <w:t xml:space="preserve">and any server speaking its Chat Completions API,</w:t>
      </w:r>
      <w:r>
        <w:t xml:space="preserve"> </w:t>
      </w:r>
      <w:r>
        <w:rPr>
          <w:rStyle w:val="VerbatimChar"/>
        </w:rPr>
        <w:t xml:space="preserve">azure_openai</w:t>
      </w:r>
      <w:r>
        <w:t xml:space="preserve">,</w:t>
      </w:r>
      <w:r>
        <w:t xml:space="preserve"> </w:t>
      </w:r>
      <w:r>
        <w:rPr>
          <w:rStyle w:val="VerbatimChar"/>
        </w:rPr>
        <w:t xml:space="preserve">ollama</w:t>
      </w:r>
      <w:r>
        <w:t xml:space="preserve">,</w:t>
      </w:r>
      <w:r>
        <w:t xml:space="preserve"> </w:t>
      </w:r>
      <w:r>
        <w:rPr>
          <w:rStyle w:val="VerbatimChar"/>
        </w:rPr>
        <w:t xml:space="preserve">bedrock</w:t>
      </w:r>
      <w:r>
        <w:t xml:space="preserve"> </w:t>
      </w:r>
      <w:r>
        <w:t xml:space="preserve">(</w:t>
      </w:r>
      <w:r>
        <w:rPr>
          <w:rStyle w:val="VerbatimChar"/>
        </w:rPr>
        <w:t xml:space="preserve">boto3</w:t>
      </w:r>
      <w:r>
        <w:t xml:space="preserve">),</w:t>
      </w:r>
      <w:r>
        <w:t xml:space="preserve"> </w:t>
      </w:r>
      <w:r>
        <w:rPr>
          <w:rStyle w:val="VerbatimChar"/>
        </w:rPr>
        <w:t xml:space="preserve">stub</w:t>
      </w:r>
      <w:r>
        <w:t xml:space="preserve"> </w:t>
      </w:r>
      <w:r>
        <w:t xml:space="preserve">(deterministic, offline) and</w:t>
      </w:r>
      <w:r>
        <w:t xml:space="preserve"> </w:t>
      </w:r>
      <w:r>
        <w:rPr>
          <w:rStyle w:val="VerbatimChar"/>
        </w:rPr>
        <w:t xml:space="preserve">none</w:t>
      </w:r>
      <w:r>
        <w:t xml:space="preserve"> </w:t>
      </w:r>
      <w:r>
        <w:t xml:space="preserve">(the default: nothing is drafted). A third party adds a provider as an</w:t>
      </w:r>
      <w:r>
        <w:t xml:space="preserve"> </w:t>
      </w:r>
      <w:r>
        <w:t xml:space="preserve">entry-point plugin, loaded only when</w:t>
      </w:r>
      <w:r>
        <w:t xml:space="preserve"> </w:t>
      </w:r>
      <w:r>
        <w:rPr>
          <w:rStyle w:val="VerbatimChar"/>
        </w:rPr>
        <w:t xml:space="preserve">plugins.allow</w:t>
      </w:r>
      <w:r>
        <w:t xml:space="preserve"> </w:t>
      </w:r>
      <w:r>
        <w:t xml:space="preserve">names it (§25). API keys are never configuration: a</w:t>
      </w:r>
      <w:r>
        <w:t xml:space="preserve"> </w:t>
      </w:r>
      <w:r>
        <w:t xml:space="preserve">setting names the environment variable that holds one. Every call is audited with its purpose, profile,</w:t>
      </w:r>
      <w:r>
        <w:t xml:space="preserve"> </w:t>
      </w:r>
      <w:r>
        <w:t xml:space="preserve">provider, model, token counts and the hash of the prompt; the prompt is not logged, because it carries a</w:t>
      </w:r>
      <w:r>
        <w:t xml:space="preserve"> </w:t>
      </w:r>
      <w:r>
        <w:t xml:space="preserve">model’s facts and the audit log’s readers may not be entitled to them.</w:t>
      </w:r>
      <w:r>
        <w:t xml:space="preserve"> </w:t>
      </w:r>
      <w:r>
        <w:rPr>
          <w:b/>
          <w:bCs/>
        </w:rPr>
        <w:t xml:space="preserve">Admin → AI models</w:t>
      </w:r>
      <w:r>
        <w:t xml:space="preserve"> </w:t>
      </w:r>
      <w:r>
        <w:t xml:space="preserve">lists every</w:t>
      </w:r>
      <w:r>
        <w:t xml:space="preserve"> </w:t>
      </w:r>
      <w:r>
        <w:t xml:space="preserve">profile with its source (settings, file or database), provider, model and readiness, and every provider on</w:t>
      </w:r>
      <w:r>
        <w:t xml:space="preserve"> </w:t>
      </w:r>
      <w:r>
        <w:t xml:space="preserve">offer. An administrator may make a profile the</w:t>
      </w:r>
      <w:r>
        <w:t xml:space="preserve"> </w:t>
      </w:r>
      <w:r>
        <w:rPr>
          <w:b/>
          <w:bCs/>
        </w:rPr>
        <w:t xml:space="preserve">default</w:t>
      </w:r>
      <w:r>
        <w:t xml:space="preserve"> </w:t>
      </w:r>
      <w:r>
        <w:t xml:space="preserve">— stored as a runtime setting in the database,</w:t>
      </w:r>
      <w:r>
        <w:t xml:space="preserve"> </w:t>
      </w:r>
      <w:r>
        <w:t xml:space="preserve">so it takes effect at once for every process, audited, and taking precedence over</w:t>
      </w:r>
      <w:r>
        <w:t xml:space="preserve"> </w:t>
      </w:r>
      <w:r>
        <w:rPr>
          <w:rStyle w:val="VerbatimChar"/>
        </w:rPr>
        <w:t xml:space="preserve">llm.profile</w:t>
      </w:r>
      <w:r>
        <w:t xml:space="preserve"> </w:t>
      </w:r>
      <w:r>
        <w:t xml:space="preserve">and the file’s</w:t>
      </w:r>
      <w:r>
        <w:t xml:space="preserve"> </w:t>
      </w:r>
      <w:r>
        <w:rPr>
          <w:rStyle w:val="VerbatimChar"/>
        </w:rPr>
        <w:t xml:space="preserve">default:</w:t>
      </w:r>
      <w:r>
        <w:t xml:space="preserve"> </w:t>
      </w:r>
      <w:r>
        <w:t xml:space="preserve">until handed back —</w:t>
      </w:r>
      <w:r>
        <w:t xml:space="preserve"> </w:t>
      </w:r>
      <w:r>
        <w:rPr>
          <w:b/>
          <w:bCs/>
        </w:rPr>
        <w:t xml:space="preserve">test</w:t>
      </w:r>
      <w:r>
        <w:t xml:space="preserve"> </w:t>
      </w:r>
      <w:r>
        <w:t xml:space="preserve">a profile with a one-line prompt, and</w:t>
      </w:r>
      <w:r>
        <w:t xml:space="preserve"> </w:t>
      </w:r>
      <w:r>
        <w:rPr>
          <w:b/>
          <w:bCs/>
        </w:rPr>
        <w:t xml:space="preserve">add, edit or delete</w:t>
      </w:r>
      <w:r>
        <w:t xml:space="preserve"> </w:t>
      </w:r>
      <w:r>
        <w:t xml:space="preserve">profiles,</w:t>
      </w:r>
      <w:r>
        <w:t xml:space="preserve"> </w:t>
      </w:r>
      <w:r>
        <w:t xml:space="preserve">which are stored in the database and replace a file profile of the same name. A profile’s options may name</w:t>
      </w:r>
      <w:r>
        <w:t xml:space="preserve"> </w:t>
      </w:r>
      <w:r>
        <w:t xml:space="preserve">the environment variable that holds a key and are refused if they appear to hold one.</w:t>
      </w:r>
    </w:p>
    <w:p>
      <w:pPr>
        <w:pStyle w:val="BodyText"/>
      </w:pPr>
      <w:r>
        <w:rPr>
          <w:b/>
          <w:bCs/>
        </w:rPr>
        <w:t xml:space="preserve">Documents.</w:t>
      </w:r>
      <w:r>
        <w:t xml:space="preserve"> </w:t>
      </w:r>
      <w:r>
        <w:t xml:space="preserve">A document is generated from a snapshot of one model version’s record — its mathematics and</w:t>
      </w:r>
      <w:r>
        <w:t xml:space="preserve"> </w:t>
      </w:r>
      <w:r>
        <w:t xml:space="preserve">contract, code checks, warrants, leakage certificate, blind scores, fairness and importance evidence,</w:t>
      </w:r>
      <w:r>
        <w:t xml:space="preserve"> </w:t>
      </w:r>
      <w:r>
        <w:t xml:space="preserve">challengers, findings, reviews, covenants and monitoring — gathered through the services under the</w:t>
      </w:r>
      <w:r>
        <w:t xml:space="preserve"> </w:t>
      </w:r>
      <w:r>
        <w:t xml:space="preserve">requester’s own read permissions, and hashed. Three kinds ship: a</w:t>
      </w:r>
      <w:r>
        <w:t xml:space="preserve"> </w:t>
      </w:r>
      <w:r>
        <w:rPr>
          <w:b/>
          <w:bCs/>
        </w:rPr>
        <w:t xml:space="preserve">model card</w:t>
      </w:r>
      <w:r>
        <w:t xml:space="preserve">, a</w:t>
      </w:r>
      <w:r>
        <w:t xml:space="preserve"> </w:t>
      </w:r>
      <w:r>
        <w:rPr>
          <w:b/>
          <w:bCs/>
        </w:rPr>
        <w:t xml:space="preserve">validation report</w:t>
      </w:r>
      <w:r>
        <w:t xml:space="preserve"> </w:t>
      </w:r>
      <w:r>
        <w:t xml:space="preserve">and</w:t>
      </w:r>
      <w:r>
        <w:t xml:space="preserve"> </w:t>
      </w:r>
      <w:r>
        <w:rPr>
          <w:b/>
          <w:bCs/>
        </w:rPr>
        <w:t xml:space="preserve">model documentation</w:t>
      </w:r>
      <w:r>
        <w:t xml:space="preserve">, each a Jinja2 template producing Markdown. A firm changes one by placing a file</w:t>
      </w:r>
      <w:r>
        <w:t xml:space="preserve"> </w:t>
      </w:r>
      <w:r>
        <w:t xml:space="preserve">of the same name in</w:t>
      </w:r>
      <w:r>
        <w:t xml:space="preserve"> </w:t>
      </w:r>
      <w:r>
        <w:rPr>
          <w:rStyle w:val="VerbatimChar"/>
        </w:rPr>
        <w:t xml:space="preserve">documents.template_dir</w:t>
      </w:r>
      <w:r>
        <w:t xml:space="preserve">; any other template there is offered for the kind its first</w:t>
      </w:r>
      <w:r>
        <w:t xml:space="preserve"> </w:t>
      </w:r>
      <w:r>
        <w:t xml:space="preserve">line declares. A template calls</w:t>
      </w:r>
      <w:r>
        <w:t xml:space="preserve"> </w:t>
      </w:r>
      <w:r>
        <w:rPr>
          <w:rStyle w:val="VerbatimChar"/>
        </w:rPr>
        <w:t xml:space="preserve">ai(key, instruction, profile=…)</w:t>
      </w:r>
      <w:r>
        <w:t xml:space="preserve"> </w:t>
      </w:r>
      <w:r>
        <w:t xml:space="preserve">for a section to be drafted; the model is</w:t>
      </w:r>
      <w:r>
        <w:t xml:space="preserve"> </w:t>
      </w:r>
      <w:r>
        <w:t xml:space="preserve">given the facts and told to use nothing else and to write</w:t>
      </w:r>
      <w:r>
        <w:t xml:space="preserve"> </w:t>
      </w:r>
      <w:r>
        <w:t xml:space="preserve">“not recorded”</w:t>
      </w:r>
      <w:r>
        <w:t xml:space="preserve"> </w:t>
      </w:r>
      <w:r>
        <w:t xml:space="preserve">rather than invent. The document</w:t>
      </w:r>
      <w:r>
        <w:t xml:space="preserve"> </w:t>
      </w:r>
      <w:r>
        <w:t xml:space="preserve">stores its template and the template’s hash, the facts’ hash, the provider and model, and its text; it</w:t>
      </w:r>
      <w:r>
        <w:t xml:space="preserve"> </w:t>
      </w:r>
      <w:r>
        <w:t xml:space="preserve">renders as Markdown, HTML (with all raw HTML escaped) or PDF (through §17’s typesetting, falling back to the</w:t>
      </w:r>
      <w:r>
        <w:t xml:space="preserve"> </w:t>
      </w:r>
      <w:r>
        <w:t xml:space="preserve">draft renderer, and saying so, when a build fails). Each drafted section is shown labelled as drafted by</w:t>
      </w:r>
      <w:r>
        <w:t xml:space="preserve"> </w:t>
      </w:r>
      <w:r>
        <w:t xml:space="preserve">that provider and model and not reviewed, until someone</w:t>
      </w:r>
      <w:r>
        <w:t xml:space="preserve"> </w:t>
      </w:r>
      <w:r>
        <w:rPr>
          <w:b/>
          <w:bCs/>
        </w:rPr>
        <w:t xml:space="preserve">other than the person who generated it</w:t>
      </w:r>
      <w:r>
        <w:t xml:space="preserve"> </w:t>
      </w:r>
      <w:r>
        <w:t xml:space="preserve">approves</w:t>
      </w:r>
      <w:r>
        <w:t xml:space="preserve"> </w:t>
      </w:r>
      <w:r>
        <w:t xml:space="preserve">the document; the label then names the reviewer. The built-in validation report never drafts its</w:t>
      </w:r>
      <w:r>
        <w:t xml:space="preserve"> </w:t>
      </w:r>
      <w:r>
        <w:t xml:space="preserve">conclusion: fitness for use is irreducibly declared (§28), and the report leaves the validator a place for it.</w:t>
      </w:r>
      <w:r>
        <w:t xml:space="preserve"> </w:t>
      </w:r>
      <w:r>
        <w:t xml:space="preserve">Without a configured model, or with drafting off, each drafted section says it was not drafted and the rest</w:t>
      </w:r>
      <w:r>
        <w:t xml:space="preserve"> </w:t>
      </w:r>
      <w:r>
        <w:t xml:space="preserve">of the document is complete. Documents are generated as jobs, listed on a model’s</w:t>
      </w:r>
      <w:r>
        <w:t xml:space="preserve"> </w:t>
      </w:r>
      <w:r>
        <w:rPr>
          <w:b/>
          <w:bCs/>
        </w:rPr>
        <w:t xml:space="preserve">Documents</w:t>
      </w:r>
      <w:r>
        <w:t xml:space="preserve"> </w:t>
      </w:r>
      <w:r>
        <w:t xml:space="preserve">tab, and</w:t>
      </w:r>
      <w:r>
        <w:t xml:space="preserve"> </w:t>
      </w:r>
      <w:r>
        <w:t xml:space="preserve">reachable through</w:t>
      </w:r>
      <w:r>
        <w:t xml:space="preserve"> </w:t>
      </w:r>
      <w:r>
        <w:rPr>
          <w:rStyle w:val="VerbatimChar"/>
        </w:rPr>
        <w:t xml:space="preserve">POST /models/{namespace}/{name}/documents</w:t>
      </w:r>
      <w:r>
        <w:t xml:space="preserve">,</w:t>
      </w:r>
      <w:r>
        <w:t xml:space="preserve"> </w:t>
      </w:r>
      <w:r>
        <w:rPr>
          <w:rStyle w:val="VerbatimChar"/>
        </w:rPr>
        <w:t xml:space="preserve">GET /documents/{id}/render</w:t>
      </w:r>
      <w:r>
        <w:t xml:space="preserve"> </w:t>
      </w:r>
      <w:r>
        <w:t xml:space="preserve">and</w:t>
      </w:r>
      <w:r>
        <w:t xml:space="preserve"> </w:t>
      </w:r>
      <w:r>
        <w:rPr>
          <w:rStyle w:val="VerbatimChar"/>
        </w:rPr>
        <w:t xml:space="preserve">POST /documents/{id}/approve</w:t>
      </w:r>
      <w:r>
        <w:t xml:space="preserve">.</w:t>
      </w:r>
    </w:p>
    <w:p>
      <w:pPr>
        <w:pStyle w:val="BodyText"/>
      </w:pPr>
      <w:r>
        <w:rPr>
          <w:b/>
          <w:bCs/>
        </w:rPr>
        <w:t xml:space="preserve">Every language-model call goes through the gateway.</w:t>
      </w:r>
      <w:r>
        <w:t xml:space="preserve"> </w:t>
      </w:r>
      <w:r>
        <w:t xml:space="preserve">The recorded challenger (§29.8) asks through it when</w:t>
      </w:r>
      <w:r>
        <w:t xml:space="preserve"> </w:t>
      </w:r>
      <w:r>
        <w:rPr>
          <w:rStyle w:val="VerbatimChar"/>
        </w:rPr>
        <w:t xml:space="preserve">assistant.provider</w:t>
      </w:r>
      <w:r>
        <w:t xml:space="preserve"> </w:t>
      </w:r>
      <w:r>
        <w:t xml:space="preserve">is</w:t>
      </w:r>
      <w:r>
        <w:t xml:space="preserve"> </w:t>
      </w:r>
      <w:r>
        <w:rPr>
          <w:rStyle w:val="VerbatimChar"/>
        </w:rPr>
        <w:t xml:space="preserve">llm</w:t>
      </w:r>
      <w:r>
        <w:t xml:space="preserve">, with the profile</w:t>
      </w:r>
      <w:r>
        <w:t xml:space="preserve"> </w:t>
      </w:r>
      <w:r>
        <w:rPr>
          <w:rStyle w:val="VerbatimChar"/>
        </w:rPr>
        <w:t xml:space="preserve">assistant.profile</w:t>
      </w:r>
      <w:r>
        <w:t xml:space="preserve"> </w:t>
      </w:r>
      <w:r>
        <w:t xml:space="preserve">names or the default, so switching the</w:t>
      </w:r>
      <w:r>
        <w:t xml:space="preserve"> </w:t>
      </w:r>
      <w:r>
        <w:t xml:space="preserve">default in Admin → AI models moves the challenger too; a provider that cannot enforce a schema is asked for</w:t>
      </w:r>
      <w:r>
        <w:t xml:space="preserve"> </w:t>
      </w:r>
      <w:r>
        <w:t xml:space="preserve">one JSON object and its reply is checked, a finding of an unknown severity or category being dropped</w:t>
      </w:r>
      <w:r>
        <w:t xml:space="preserve"> </w:t>
      </w:r>
      <w:r>
        <w:t xml:space="preserve">(</w:t>
      </w:r>
      <w:r>
        <w:rPr>
          <w:rStyle w:val="VerbatimChar"/>
        </w:rPr>
        <w:t xml:space="preserve">claude</w:t>
      </w:r>
      <w:r>
        <w:t xml:space="preserve"> </w:t>
      </w:r>
      <w:r>
        <w:t xml:space="preserve">keeps its direct, schema-enforced Anthropic call). A</w:t>
      </w:r>
      <w:r>
        <w:t xml:space="preserve"> </w:t>
      </w:r>
      <w:r>
        <w:rPr>
          <w:b/>
          <w:bCs/>
        </w:rPr>
        <w:t xml:space="preserve">live evaluation</w:t>
      </w:r>
      <w:r>
        <w:t xml:space="preserve"> </w:t>
      </w:r>
      <w:r>
        <w:t xml:space="preserve">of an LLM application</w:t>
      </w:r>
      <w:r>
        <w:t xml:space="preserve"> </w:t>
      </w:r>
      <w:r>
        <w:t xml:space="preserve">is different in kind: the version’s provider and model are part of what is approved, so the gateway asks</w:t>
      </w:r>
      <w:r>
        <w:t xml:space="preserve"> </w:t>
      </w:r>
      <w:r>
        <w:t xml:space="preserve">exactly that pairing, with the version’s own</w:t>
      </w:r>
      <w:r>
        <w:t xml:space="preserve"> </w:t>
      </w:r>
      <w:r>
        <w:rPr>
          <w:rStyle w:val="VerbatimChar"/>
        </w:rPr>
        <w:t xml:space="preserve">max_tokens</w:t>
      </w:r>
      <w:r>
        <w:t xml:space="preserve"> </w:t>
      </w:r>
      <w:r>
        <w:t xml:space="preserve">and temperature (none means the provider’s own),</w:t>
      </w:r>
      <w:r>
        <w:t xml:space="preserve"> </w:t>
      </w:r>
      <w:r>
        <w:t xml:space="preserve">and never the switchable default.</w:t>
      </w:r>
      <w:r>
        <w:t xml:space="preserve"> </w:t>
      </w:r>
      <w:r>
        <w:rPr>
          <w:rStyle w:val="VerbatimChar"/>
        </w:rPr>
        <w:t xml:space="preserve">anthropic</w:t>
      </w:r>
      <w:r>
        <w:t xml:space="preserve">,</w:t>
      </w:r>
      <w:r>
        <w:t xml:space="preserve"> </w:t>
      </w:r>
      <w:r>
        <w:rPr>
          <w:rStyle w:val="VerbatimChar"/>
        </w:rPr>
        <w:t xml:space="preserve">openai</w:t>
      </w:r>
      <w:r>
        <w:t xml:space="preserve">,</w:t>
      </w:r>
      <w:r>
        <w:t xml:space="preserve"> </w:t>
      </w:r>
      <w:r>
        <w:rPr>
          <w:rStyle w:val="VerbatimChar"/>
        </w:rPr>
        <w:t xml:space="preserve">azure_openai</w:t>
      </w:r>
      <w:r>
        <w:t xml:space="preserve">,</w:t>
      </w:r>
      <w:r>
        <w:t xml:space="preserve"> </w:t>
      </w:r>
      <w:r>
        <w:rPr>
          <w:rStyle w:val="VerbatimChar"/>
        </w:rPr>
        <w:t xml:space="preserve">bedrock</w:t>
      </w:r>
      <w:r>
        <w:t xml:space="preserve"> </w:t>
      </w:r>
      <w:r>
        <w:t xml:space="preserve">and</w:t>
      </w:r>
      <w:r>
        <w:t xml:space="preserve"> </w:t>
      </w:r>
      <w:r>
        <w:rPr>
          <w:rStyle w:val="VerbatimChar"/>
        </w:rPr>
        <w:t xml:space="preserve">ollama</w:t>
      </w:r>
      <w:r>
        <w:t xml:space="preserve"> </w:t>
      </w:r>
      <w:r>
        <w:t xml:space="preserve">can be run</w:t>
      </w:r>
      <w:r>
        <w:t xml:space="preserve"> </w:t>
      </w:r>
      <w:r>
        <w:t xml:space="preserve">live; any other provider is evaluated by a recorded run. Each call is audited as</w:t>
      </w:r>
      <w:r>
        <w:t xml:space="preserve"> </w:t>
      </w:r>
      <w:r>
        <w:rPr>
          <w:rStyle w:val="VerbatimChar"/>
        </w:rPr>
        <w:t xml:space="preserve">ai.completion</w:t>
      </w:r>
      <w:r>
        <w:t xml:space="preserve"> </w:t>
      </w:r>
      <w:r>
        <w:t xml:space="preserve">with its</w:t>
      </w:r>
      <w:r>
        <w:t xml:space="preserve"> </w:t>
      </w:r>
      <w:r>
        <w:t xml:space="preserve">purpose (</w:t>
      </w:r>
      <w:r>
        <w:rPr>
          <w:rStyle w:val="VerbatimChar"/>
        </w:rPr>
        <w:t xml:space="preserve">assistant.challenge</w:t>
      </w:r>
      <w:r>
        <w:t xml:space="preserve">,</w:t>
      </w:r>
      <w:r>
        <w:t xml:space="preserve"> </w:t>
      </w:r>
      <w:r>
        <w:rPr>
          <w:rStyle w:val="VerbatimChar"/>
        </w:rPr>
        <w:t xml:space="preserve">llm.evaluation</w:t>
      </w:r>
      <w:r>
        <w:t xml:space="preserve">, a document section,</w:t>
      </w:r>
      <w:r>
        <w:t xml:space="preserve"> </w:t>
      </w:r>
      <w:r>
        <w:rPr>
          <w:rStyle w:val="VerbatimChar"/>
        </w:rPr>
        <w:t xml:space="preserve">ai.test</w:t>
      </w:r>
      <w:r>
        <w:t xml:space="preserve">).</w:t>
      </w:r>
    </w:p>
    <w:bookmarkEnd w:id="132"/>
    <w:bookmarkEnd w:id="133"/>
    <w:bookmarkStart w:id="138" w:name="engineering-standards"/>
    <w:p>
      <w:pPr>
        <w:pStyle w:val="Heading2"/>
      </w:pPr>
      <w:r>
        <w:t xml:space="preserve">22. Engineering standards</w:t>
      </w:r>
    </w:p>
    <w:bookmarkStart w:id="134"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4"/>
    <w:bookmarkStart w:id="135"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5"/>
    <w:bookmarkStart w:id="136"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6"/>
    <w:bookmarkStart w:id="137"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7"/>
    <w:bookmarkEnd w:id="138"/>
    <w:bookmarkStart w:id="139"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9"/>
    <w:bookmarkStart w:id="145" w:name="deployment-configuration-and-capacity"/>
    <w:p>
      <w:pPr>
        <w:pStyle w:val="Heading2"/>
      </w:pPr>
      <w:r>
        <w:t xml:space="preserve">24. Deployment, configuration and capacity</w:t>
      </w:r>
    </w:p>
    <w:bookmarkStart w:id="140"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40"/>
    <w:bookmarkStart w:id="141"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1"/>
    <w:bookmarkStart w:id="142"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2"/>
    <w:bookmarkStart w:id="143"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3"/>
    <w:bookmarkStart w:id="144"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4"/>
    <w:bookmarkEnd w:id="145"/>
    <w:bookmarkStart w:id="146"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r>
        <w:tc>
          <w:tcPr/>
          <w:p>
            <w:pPr>
              <w:pStyle w:val="Compact"/>
            </w:pPr>
            <w:r>
              <w:t xml:space="preserve">Language-model provider</w:t>
            </w:r>
          </w:p>
        </w:tc>
        <w:tc>
          <w:tcPr/>
          <w:p>
            <w:pPr>
              <w:pStyle w:val="Compact"/>
            </w:pPr>
            <w:r>
              <w:rPr>
                <w:rStyle w:val="VerbatimChar"/>
              </w:rPr>
              <w:t xml:space="preserve">LlmProvider.complete(system, messages, max_tokens, temperature)</w:t>
            </w:r>
          </w:p>
        </w:tc>
        <w:tc>
          <w:tcPr/>
          <w:p>
            <w:pPr>
              <w:pStyle w:val="Compact"/>
            </w:pPr>
            <w:r>
              <w:rPr>
                <w:i/>
                <w:iCs/>
              </w:rPr>
              <w:t xml:space="preserve">Revision 2.8:</w:t>
            </w:r>
            <w:r>
              <w:t xml:space="preserve"> </w:t>
            </w:r>
            <w:r>
              <w:t xml:space="preserve">anthropic, openai (and compatible servers), azure_openai, ollama, bedrock, stub, none; chosen through model profiles (§21.6)</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6"/>
    <w:bookmarkStart w:id="150" w:name="roadmap-risks-and-open-decisions"/>
    <w:p>
      <w:pPr>
        <w:pStyle w:val="Heading2"/>
      </w:pPr>
      <w:r>
        <w:t xml:space="preserve">26. Roadmap, risks and open decisions</w:t>
      </w:r>
    </w:p>
    <w:bookmarkStart w:id="147"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7"/>
    <w:bookmarkStart w:id="148"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8"/>
    <w:bookmarkStart w:id="149"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9"/>
    <w:bookmarkEnd w:id="150"/>
    <w:bookmarkStart w:id="166"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5"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1">
              <w:r>
                <w:rPr>
                  <w:rStyle w:val="Hyperlink"/>
                </w:rPr>
                <w:t xml:space="preserve">Tecton</w:t>
              </w:r>
            </w:hyperlink>
            <w:r>
              <w:t xml:space="preserve">,</w:t>
            </w:r>
            <w:r>
              <w:t xml:space="preserve"> </w:t>
            </w:r>
            <w:hyperlink r:id="rId152">
              <w:r>
                <w:rPr>
                  <w:rStyle w:val="Hyperlink"/>
                </w:rPr>
                <w:t xml:space="preserve">Feast</w:t>
              </w:r>
            </w:hyperlink>
            <w:r>
              <w:t xml:space="preserve"> </w:t>
            </w:r>
            <w:r>
              <w:t xml:space="preserve">(Linux Foundation), Databricks Feature Engineering,</w:t>
            </w:r>
            <w:r>
              <w:t xml:space="preserve"> </w:t>
            </w:r>
            <w:hyperlink r:id="rId153">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4">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5"/>
    <w:bookmarkStart w:id="156"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6"/>
    <w:bookmarkStart w:id="157"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7"/>
    <w:bookmarkStart w:id="165"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8">
        <w:r>
          <w:rPr>
            <w:rStyle w:val="Hyperlink"/>
          </w:rPr>
          <w:t xml:space="preserve">SR 26-2 analysis, IBM Promontory</w:t>
        </w:r>
      </w:hyperlink>
      <w:r>
        <w:t xml:space="preserve"> </w:t>
      </w:r>
      <w:r>
        <w:t xml:space="preserve">·</w:t>
      </w:r>
      <w:r>
        <w:t xml:space="preserve"> </w:t>
      </w:r>
      <w:hyperlink r:id="rId159">
        <w:r>
          <w:rPr>
            <w:rStyle w:val="Hyperlink"/>
          </w:rPr>
          <w:t xml:space="preserve">Revised MRM guidance, April 2026</w:t>
        </w:r>
      </w:hyperlink>
      <w:r>
        <w:t xml:space="preserve"> </w:t>
      </w:r>
      <w:r>
        <w:t xml:space="preserve">·</w:t>
      </w:r>
      <w:r>
        <w:t xml:space="preserve"> </w:t>
      </w:r>
      <w:hyperlink r:id="rId160">
        <w:r>
          <w:rPr>
            <w:rStyle w:val="Hyperlink"/>
          </w:rPr>
          <w:t xml:space="preserve">MRM software landscape 2026</w:t>
        </w:r>
      </w:hyperlink>
      <w:r>
        <w:t xml:space="preserve"> </w:t>
      </w:r>
      <w:r>
        <w:t xml:space="preserve">·</w:t>
      </w:r>
      <w:r>
        <w:t xml:space="preserve"> </w:t>
      </w:r>
      <w:hyperlink r:id="rId161">
        <w:r>
          <w:rPr>
            <w:rStyle w:val="Hyperlink"/>
          </w:rPr>
          <w:t xml:space="preserve">lakeFS 2025 release review and DVC acquisition</w:t>
        </w:r>
      </w:hyperlink>
      <w:r>
        <w:t xml:space="preserve"> </w:t>
      </w:r>
      <w:r>
        <w:t xml:space="preserve">·</w:t>
      </w:r>
      <w:r>
        <w:t xml:space="preserve"> </w:t>
      </w:r>
      <w:hyperlink r:id="rId162">
        <w:r>
          <w:rPr>
            <w:rStyle w:val="Hyperlink"/>
          </w:rPr>
          <w:t xml:space="preserve">Iceberg branches and tags</w:t>
        </w:r>
      </w:hyperlink>
      <w:r>
        <w:t xml:space="preserve"> </w:t>
      </w:r>
      <w:r>
        <w:t xml:space="preserve">·</w:t>
      </w:r>
      <w:r>
        <w:t xml:space="preserve"> </w:t>
      </w:r>
      <w:hyperlink r:id="rId163">
        <w:r>
          <w:rPr>
            <w:rStyle w:val="Hyperlink"/>
          </w:rPr>
          <w:t xml:space="preserve">Feature store comparison, 2026</w:t>
        </w:r>
      </w:hyperlink>
      <w:r>
        <w:t xml:space="preserve"> </w:t>
      </w:r>
      <w:r>
        <w:t xml:space="preserve">·</w:t>
      </w:r>
      <w:r>
        <w:t xml:space="preserve"> </w:t>
      </w:r>
      <w:hyperlink r:id="rId164">
        <w:r>
          <w:rPr>
            <w:rStyle w:val="Hyperlink"/>
          </w:rPr>
          <w:t xml:space="preserve">AI governance vendor comparison, 2026</w:t>
        </w:r>
      </w:hyperlink>
    </w:p>
    <w:bookmarkEnd w:id="165"/>
    <w:bookmarkEnd w:id="166"/>
    <w:bookmarkStart w:id="178"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7"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7"/>
    <w:bookmarkStart w:id="168"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8"/>
    <w:bookmarkStart w:id="169"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9"/>
    <w:bookmarkStart w:id="170"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70"/>
    <w:bookmarkStart w:id="171"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1"/>
    <w:bookmarkStart w:id="172"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2"/>
    <w:bookmarkStart w:id="173"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3"/>
    <w:bookmarkStart w:id="174"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4"/>
    <w:bookmarkStart w:id="175"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5"/>
    <w:bookmarkStart w:id="176"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6"/>
    <w:bookmarkStart w:id="177"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7"/>
    <w:bookmarkEnd w:id="178"/>
    <w:bookmarkStart w:id="190"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9"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p>
      <w:pPr>
        <w:pStyle w:val="BodyText"/>
      </w:pPr>
      <w:r>
        <w:rPr>
          <w:b/>
          <w:bCs/>
        </w:rPr>
        <w:t xml:space="preserve">Restatement alerts</w:t>
      </w:r>
      <w:r>
        <w:t xml:space="preserve"> </w:t>
      </w:r>
      <w:r>
        <w:t xml:space="preserve">(</w:t>
      </w:r>
      <w:r>
        <w:rPr>
          <w:i/>
          <w:iCs/>
        </w:rPr>
        <w:t xml:space="preserve">Revision 2.8</w:t>
      </w:r>
      <w:r>
        <w:t xml:space="preserve">). Keeping pins still has a cost of its own: a model fitted on a pin goes on running on what the pin says after the source has corrected it. So a restatement is acted on as well as recorded. Every ingest that restates rows queues a job, which checks each live (or suspended) execution warrant. It resolves the definition of the feature set pin that warrant’s training warrant was drawn on again, over the same member feature</w:t>
      </w:r>
      <w:r>
        <w:t xml:space="preserve"> </w:t>
      </w:r>
      <w:r>
        <w:rPr>
          <w:i/>
          <w:iCs/>
        </w:rPr>
        <w:t xml:space="preserve">versions</w:t>
      </w:r>
      <w:r>
        <w:t xml:space="preserve"> </w:t>
      </w:r>
      <w:r>
        <w:t xml:space="preserve">and to the same as-of date, with everything known now. If that hashes the same as the sealed pin, nothing under the model moved and nothing is said. If it differs, MAYA records an</w:t>
      </w:r>
      <w:r>
        <w:t xml:space="preserve"> </w:t>
      </w:r>
      <w:r>
        <w:rPr>
          <w:b/>
          <w:bCs/>
        </w:rPr>
        <w:t xml:space="preserve">impact</w:t>
      </w:r>
      <w:r>
        <w:t xml:space="preserve"> </w:t>
      </w:r>
      <w:r>
        <w:t xml:space="preserve">on the warrant, with no row shown to anyone:</w:t>
      </w:r>
    </w:p>
    <w:p>
      <w:pPr>
        <w:pStyle w:val="Compact"/>
        <w:numPr>
          <w:ilvl w:val="0"/>
          <w:numId w:val="1026"/>
        </w:numPr>
      </w:pPr>
      <w:r>
        <w:t xml:space="preserve">the rows changed (and how many of them fall in the escrowed holdout), added and dropped;</w:t>
      </w:r>
    </w:p>
    <w:p>
      <w:pPr>
        <w:pStyle w:val="Compact"/>
        <w:numPr>
          <w:ilvl w:val="0"/>
          <w:numId w:val="1026"/>
        </w:numPr>
      </w:pPr>
      <w:r>
        <w:t xml:space="preserve">the warrant’s approved parameters scored on the holdout both ways, from the IR or in the sandbox, as blind scoring does (this is MAYA’s own check, so no holdout attempt is spent);</w:t>
      </w:r>
    </w:p>
    <w:p>
      <w:pPr>
        <w:pStyle w:val="Compact"/>
        <w:numPr>
          <w:ilvl w:val="0"/>
          <w:numId w:val="1026"/>
        </w:numPr>
      </w:pPr>
      <w:r>
        <w:t xml:space="preserve">the prediction shift over every row: its mean and its largest absolute value, and the share of rows that moved.</w:t>
      </w:r>
    </w:p>
    <w:p>
      <w:pPr>
        <w:pStyle w:val="FirstParagraph"/>
      </w:pPr>
      <w:r>
        <w:t xml:space="preserve">The warrant’s owner, the model’s owner and every model manager are notified. The impact stays open on the warrant’s page until one of them acknowledges it with a note, either that the model was refitted or why the change is immaterial. Nothing is suspended automatically, because whether a correction invalidates a model is a judgement; the impact is the evidence for making it. The same corrected state is never reported twice, and an owner can ask for a check at any time (</w:t>
      </w:r>
      <w:r>
        <w:rPr>
          <w:rStyle w:val="VerbatimChar"/>
        </w:rPr>
        <w:t xml:space="preserve">GET /warrants/execution/{id}/restatements</w:t>
      </w:r>
      <w:r>
        <w:t xml:space="preserve">,</w:t>
      </w:r>
      <w:r>
        <w:t xml:space="preserve"> </w:t>
      </w:r>
      <w:r>
        <w:rPr>
          <w:rStyle w:val="VerbatimChar"/>
        </w:rPr>
        <w:t xml:space="preserve">POST …/restatements/check</w:t>
      </w:r>
      <w:r>
        <w:t xml:space="preserve">,</w:t>
      </w:r>
      <w:r>
        <w:t xml:space="preserve"> </w:t>
      </w:r>
      <w:r>
        <w:rPr>
          <w:rStyle w:val="VerbatimChar"/>
        </w:rPr>
        <w:t xml:space="preserve">POST /restatements/{id}/acknowledge</w:t>
      </w:r>
      <w:r>
        <w:t xml:space="preserve">). The setting</w:t>
      </w:r>
      <w:r>
        <w:t xml:space="preserve"> </w:t>
      </w:r>
      <w:r>
        <w:rPr>
          <w:rStyle w:val="VerbatimChar"/>
        </w:rPr>
        <w:t xml:space="preserve">restatements.alerts</w:t>
      </w:r>
      <w:r>
        <w:t xml:space="preserve"> </w:t>
      </w:r>
      <w:r>
        <w:t xml:space="preserve">turns the automatic check off.</w:t>
      </w:r>
    </w:p>
    <w:bookmarkEnd w:id="179"/>
    <w:bookmarkStart w:id="180"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80"/>
    <w:bookmarkStart w:id="181"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1"/>
    <w:bookmarkStart w:id="182"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2"/>
    <w:bookmarkStart w:id="183"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3"/>
    <w:bookmarkStart w:id="184"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4"/>
    <w:bookmarkStart w:id="185"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5"/>
    <w:bookmarkStart w:id="186"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6"/>
    <w:bookmarkStart w:id="187"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7"/>
    <w:bookmarkStart w:id="188"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8"/>
    <w:bookmarkStart w:id="189"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9"/>
    <w:bookmarkEnd w:id="190"/>
    <w:bookmarkStart w:id="194" w:name="appendices"/>
    <w:p>
      <w:pPr>
        <w:pStyle w:val="Heading2"/>
      </w:pPr>
      <w:r>
        <w:t xml:space="preserve">30. Appendices</w:t>
      </w:r>
    </w:p>
    <w:bookmarkStart w:id="191"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1"/>
    <w:bookmarkStart w:id="192"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2"/>
    <w:bookmarkStart w:id="193"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2026-09-29T00:43:36Z</dcterms:created>
  <dcterms:modified xsi:type="dcterms:W3CDTF">2026-09-29T00:43:36Z</dcterms:modified>
</cp:coreProperties>
</file>

<file path=docProps/custom.xml><?xml version="1.0" encoding="utf-8"?>
<Properties xmlns="http://schemas.openxmlformats.org/officeDocument/2006/custom-properties" xmlns:vt="http://schemas.openxmlformats.org/officeDocument/2006/docPropsVTypes"/>
</file>