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0.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9"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2.6 — 2026-09-20.</w:t>
      </w:r>
      <w:r>
        <w:t xml:space="preserve"> </w:t>
      </w:r>
      <w:r>
        <w:t xml:space="preserve">No new decisions. Like revision 2.4, this one marks places</w:t>
      </w:r>
      <w:r>
        <w:t xml:space="preserve"> </w:t>
      </w:r>
      <w:r>
        <w:t xml:space="preserve">where the document had fallen behind the code, each as</w:t>
      </w:r>
      <w:r>
        <w:t xml:space="preserve"> </w:t>
      </w:r>
      <w:r>
        <w:rPr>
          <w:i/>
          <w:iCs/>
        </w:rPr>
        <w:t xml:space="preserve">Revision 2.6</w:t>
      </w:r>
      <w:r>
        <w:t xml:space="preserve"> </w:t>
      </w:r>
      <w:r>
        <w:t xml:space="preserve">where it lands, found</w:t>
      </w:r>
      <w:r>
        <w:t xml:space="preserve"> </w:t>
      </w:r>
      <w:r>
        <w:t xml:space="preserve">by reading every sentence of it against</w:t>
      </w:r>
      <w:r>
        <w:t xml:space="preserve"> </w:t>
      </w:r>
      <w:r>
        <w:rPr>
          <w:rStyle w:val="VerbatimChar"/>
        </w:rPr>
        <w:t xml:space="preserve">maya/</w:t>
      </w:r>
      <w:r>
        <w:t xml:space="preserve">. §3’s capability matrix still withheld</w:t>
      </w:r>
      <w:r>
        <w:t xml:space="preserve"> </w:t>
      </w:r>
      <w:r>
        <w:t xml:space="preserve">approval from the model owner, which the audit’s batch 1 gave them precisely because a</w:t>
      </w:r>
      <w:r>
        <w:t xml:space="preserve"> </w:t>
      </w:r>
      <w:r>
        <w:t xml:space="preserve">production namespace could otherwise approve no execution warrant at all — the matrix is</w:t>
      </w:r>
      <w:r>
        <w:t xml:space="preserve"> </w:t>
      </w:r>
      <w:r>
        <w:t xml:space="preserve">the one place that record was not corrected — and it omits two object types the shipped</w:t>
      </w:r>
      <w:r>
        <w:t xml:space="preserve"> </w:t>
      </w:r>
      <w:r>
        <w:t xml:space="preserve">matrix carries. §13.4.2’s register lists twenty seams; the resolver settles nineteen, one of</w:t>
      </w:r>
      <w:r>
        <w:t xml:space="preserve"> </w:t>
      </w:r>
      <w:r>
        <w:t xml:space="preserve">them (</w:t>
      </w:r>
      <w:r>
        <w:rPr>
          <w:rStyle w:val="VerbatimChar"/>
        </w:rPr>
        <w:t xml:space="preserve">tracing</w:t>
      </w:r>
      <w:r>
        <w:t xml:space="preserve">) unlisted here, and the sandbox and SSO rows describe capabilities settled</w:t>
      </w:r>
      <w:r>
        <w:t xml:space="preserve"> </w:t>
      </w:r>
      <w:r>
        <w:t xml:space="preserve">by their own modules rather than by</w:t>
      </w:r>
      <w:r>
        <w:t xml:space="preserve"> </w:t>
      </w:r>
      <w:r>
        <w:rPr>
          <w:rStyle w:val="VerbatimChar"/>
        </w:rPr>
        <w:t xml:space="preserve">maya/core/backends.py</w:t>
      </w:r>
      <w:r>
        <w:t xml:space="preserve">. §16.1 gains the front door —</w:t>
      </w:r>
      <w:r>
        <w:t xml:space="preserve"> </w:t>
      </w:r>
      <w:r>
        <w:rPr>
          <w:rStyle w:val="VerbatimChar"/>
        </w:rPr>
        <w:t xml:space="preserve">/</w:t>
      </w:r>
      <w:r>
        <w:t xml:space="preserve"> </w:t>
      </w:r>
      <w:r>
        <w:t xml:space="preserve">is the landing page until somebody signs in — and says what</w:t>
      </w:r>
      <w:r>
        <w:t xml:space="preserve"> </w:t>
      </w:r>
      <w:r>
        <w:rPr>
          <w:rStyle w:val="VerbatimChar"/>
        </w:rPr>
        <w:t xml:space="preserve">⌘K</w:t>
      </w:r>
      <w:r>
        <w:t xml:space="preserve"> </w:t>
      </w:r>
      <w:r>
        <w:t xml:space="preserve">and the Help menu</w:t>
      </w:r>
      <w:r>
        <w:t xml:space="preserve"> </w:t>
      </w:r>
      <w:r>
        <w:t xml:space="preserve">really are. §16.2 gains the compute-kernel</w:t>
      </w:r>
      <w:r>
        <w:t xml:space="preserve"> </w:t>
      </w:r>
      <w:r>
        <w:t xml:space="preserve">wizard, which is a screen; §16.3 the rule that a node carries its own name, and the count</w:t>
      </w:r>
      <w:r>
        <w:t xml:space="preserve"> </w:t>
      </w:r>
      <w:r>
        <w:t xml:space="preserve">of edge labels a fan leaves unwritten; §17.1 the rule that closes the LaTeX preview. §18.3 named</w:t>
      </w:r>
      <w:r>
        <w:t xml:space="preserve"> </w:t>
      </w:r>
      <w:r>
        <w:rPr>
          <w:rStyle w:val="VerbatimChar"/>
        </w:rPr>
        <w:t xml:space="preserve">maya admin user|role|grant|policy</w:t>
      </w:r>
      <w:r>
        <w:t xml:space="preserve">; the shipped</w:t>
      </w:r>
      <w:r>
        <w:t xml:space="preserve"> </w:t>
      </w:r>
      <w:r>
        <w:t xml:space="preserve">commands are narrower and are listed. And §22.3 still draws</w:t>
      </w:r>
      <w:r>
        <w:t xml:space="preserve"> </w:t>
      </w:r>
      <w:r>
        <w:rPr>
          <w:rStyle w:val="VerbatimChar"/>
        </w:rPr>
        <w:t xml:space="preserve">domain/</w:t>
      </w:r>
      <w:r>
        <w:t xml:space="preserve"> </w:t>
      </w:r>
      <w:r>
        <w:t xml:space="preserve">and</w:t>
      </w:r>
      <w:r>
        <w:t xml:space="preserve"> </w:t>
      </w:r>
      <w:r>
        <w:rPr>
          <w:rStyle w:val="VerbatimChar"/>
        </w:rPr>
        <w:t xml:space="preserve">ports/</w:t>
      </w:r>
      <w:r>
        <w:t xml:space="preserve"> </w:t>
      </w:r>
      <w:r>
        <w:t xml:space="preserve">subpackages that were never built (ADR-001). None of these changes what MAYA does; each is</w:t>
      </w:r>
      <w:r>
        <w:t xml:space="preserve"> </w:t>
      </w:r>
      <w:r>
        <w:t xml:space="preserve">a sentence somebody could have acted on.</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RAG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RAG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Namespaces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Workflow policy</w:t>
            </w:r>
          </w:p>
        </w:tc>
        <w:tc>
          <w:tcPr/>
          <w:p>
            <w:pPr>
              <w:pStyle w:val="Compact"/>
            </w:pPr>
            <w:r>
              <w:t xml:space="preserve">CRUAG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rPr>
          <w:i/>
          <w:iCs/>
        </w:rPr>
        <w:t xml:space="preserve">Revision 2.6:</w:t>
      </w:r>
      <w:r>
        <w:t xml:space="preserve"> </w:t>
      </w:r>
      <w:r>
        <w:t xml:space="preserve">three cells and two rows, all of them the document catching up with</w:t>
      </w:r>
      <w:r>
        <w:t xml:space="preserve"> </w:t>
      </w:r>
      <w:r>
        <w:rPr>
          <w:rStyle w:val="VerbatimChar"/>
        </w:rPr>
        <w:t xml:space="preserve">maya/security/roles.py</w:t>
      </w:r>
      <w:r>
        <w:t xml:space="preserve">, which is the matrix the code actually reads. The</w:t>
      </w:r>
      <w:r>
        <w:t xml:space="preserve"> </w:t>
      </w:r>
      <w:r>
        <w:rPr>
          <w:b/>
          <w:bCs/>
        </w:rPr>
        <w:t xml:space="preserve">model owner</w:t>
      </w:r>
      <w:r>
        <w:rPr>
          <w:b/>
          <w:bCs/>
        </w:rPr>
        <w:t xml:space="preserve"> </w:t>
      </w:r>
      <w:r>
        <w:rPr>
          <w:b/>
          <w:bCs/>
        </w:rPr>
        <w:t xml:space="preserve">holds</w:t>
      </w:r>
      <w:r>
        <w:rPr>
          <w:b/>
          <w:bCs/>
        </w:rPr>
        <w:t xml:space="preserve"> </w:t>
      </w:r>
      <w:r>
        <w:rPr>
          <w:rStyle w:val="VerbatimChar"/>
          <w:b/>
          <w:bCs/>
        </w:rPr>
        <w:t xml:space="preserve">A</w:t>
      </w:r>
      <w:r>
        <w:rPr>
          <w:b/>
          <w:bCs/>
        </w:rPr>
        <w:t xml:space="preserve"> </w:t>
      </w:r>
      <w:r>
        <w:rPr>
          <w:b/>
          <w:bCs/>
        </w:rPr>
        <w:t xml:space="preserve">on a model definition and on its execution warrant</w:t>
      </w:r>
      <w:r>
        <w:t xml:space="preserve">: §10.2’s example policy and</w:t>
      </w:r>
      <w:r>
        <w:t xml:space="preserve"> </w:t>
      </w:r>
      <w:r>
        <w:t xml:space="preserve">the shipped execution-warrant policy both ask the owner to sign off in a production</w:t>
      </w:r>
      <w:r>
        <w:t xml:space="preserve"> </w:t>
      </w:r>
      <w:r>
        <w:t xml:space="preserve">namespace, and without approval capability that signature could never be given, so a</w:t>
      </w:r>
      <w:r>
        <w:t xml:space="preserve"> </w:t>
      </w:r>
      <w:r>
        <w:t xml:space="preserve">production namespace could approve no execution warrant at all. It is</w:t>
      </w:r>
      <w:r>
        <w:t xml:space="preserve"> </w:t>
      </w:r>
      <w:r>
        <w:rPr>
          <w:rStyle w:val="VerbatimChar"/>
        </w:rPr>
        <w:t xml:space="preserve">A</w:t>
      </w:r>
      <w:r>
        <w:t xml:space="preserve"> </w:t>
      </w:r>
      <w:r>
        <w:t xml:space="preserve">on the model and</w:t>
      </w:r>
      <w:r>
        <w:t xml:space="preserve"> </w:t>
      </w:r>
      <w:r>
        <w:t xml:space="preserve">its execution warrant only — training warrants and parameter sets stay the manager’s. A</w:t>
      </w:r>
      <w:r>
        <w:t xml:space="preserve"> </w:t>
      </w:r>
      <w:r>
        <w:rPr>
          <w:b/>
          <w:bCs/>
        </w:rPr>
        <w:t xml:space="preserve">feature designer holds</w:t>
      </w:r>
      <w:r>
        <w:rPr>
          <w:b/>
          <w:bCs/>
        </w:rPr>
        <w:t xml:space="preserve"> </w:t>
      </w:r>
      <w:r>
        <w:rPr>
          <w:rStyle w:val="VerbatimChar"/>
          <w:b/>
          <w:bCs/>
        </w:rPr>
        <w:t xml:space="preserve">R</w:t>
      </w:r>
      <w:r>
        <w:rPr>
          <w:b/>
          <w:bCs/>
        </w:rPr>
        <w:t xml:space="preserve"> </w:t>
      </w:r>
      <w:r>
        <w:rPr>
          <w:b/>
          <w:bCs/>
        </w:rPr>
        <w:t xml:space="preserve">on a model definition</w:t>
      </w:r>
      <w:r>
        <w:t xml:space="preserve">, as the code has all along: a designer</w:t>
      </w:r>
      <w:r>
        <w:t xml:space="preserve"> </w:t>
      </w:r>
      <w:r>
        <w:t xml:space="preserve">who cannot see what consumes their feature cannot judge a change to it. And the shipped</w:t>
      </w:r>
      <w:r>
        <w:t xml:space="preserve"> </w:t>
      </w:r>
      <w:r>
        <w:t xml:space="preserve">matrix governs two further object types,</w:t>
      </w:r>
      <w:r>
        <w:t xml:space="preserve"> </w:t>
      </w:r>
      <w:r>
        <w:rPr>
          <w:b/>
          <w:bCs/>
        </w:rPr>
        <w:t xml:space="preserve">namespaces</w:t>
      </w:r>
      <w:r>
        <w:t xml:space="preserve"> </w:t>
      </w:r>
      <w:r>
        <w:t xml:space="preserve">and</w:t>
      </w:r>
      <w:r>
        <w:t xml:space="preserve"> </w:t>
      </w:r>
      <w:r>
        <w:rPr>
          <w:b/>
          <w:bCs/>
        </w:rPr>
        <w:t xml:space="preserve">workflow policies</w:t>
      </w:r>
      <w:r>
        <w:t xml:space="preserve">, both administrator-only; a policy is the one object an administrator</w:t>
      </w:r>
      <w:r>
        <w:t xml:space="preserve"> </w:t>
      </w:r>
      <w:r>
        <w:t xml:space="preserve">approves rather than merely edits (§10.6).</w:t>
      </w:r>
    </w:p>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59"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End w:id="59"/>
    <w:bookmarkStart w:id="69"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3" w:name="the-canonical-state-machine"/>
    <w:p>
      <w:pPr>
        <w:pStyle w:val="Heading3"/>
      </w:pPr>
      <w:r>
        <w:t xml:space="preserve">10.1 The canonical state machine</w:t>
      </w:r>
    </w:p>
    <w:p>
      <w:pPr>
        <w:pStyle w:val="FirstParagraph"/>
      </w:pPr>
      <w:r>
        <w:drawing>
          <wp:inline>
            <wp:extent cx="5334000" cy="7216588"/>
            <wp:effectExtent b="0" l="0" r="0" t="0"/>
            <wp:docPr descr="" title="" id="61" name="Picture"/>
            <a:graphic>
              <a:graphicData uri="http://schemas.openxmlformats.org/drawingml/2006/picture">
                <pic:pic>
                  <pic:nvPicPr>
                    <pic:cNvPr descr="diagram-4.png" id="62" name="Picture"/>
                    <pic:cNvPicPr>
                      <a:picLocks noChangeArrowheads="1" noChangeAspect="1"/>
                    </pic:cNvPicPr>
                  </pic:nvPicPr>
                  <pic:blipFill>
                    <a:blip r:embed="rId60"/>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3"/>
    <w:bookmarkStart w:id="64"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4"/>
    <w:bookmarkStart w:id="65"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5"/>
    <w:bookmarkStart w:id="66"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6"/>
    <w:bookmarkStart w:id="67"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7"/>
    <w:bookmarkStart w:id="68"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68"/>
    <w:bookmarkEnd w:id="69"/>
    <w:bookmarkStart w:id="75"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0" w:name="the-four-inputs"/>
    <w:p>
      <w:pPr>
        <w:pStyle w:val="Heading3"/>
      </w:pPr>
      <w:r>
        <w:t xml:space="preserve">11.1 The four inputs</w:t>
      </w:r>
    </w:p>
    <w:p>
      <w:pPr>
        <w:pStyle w:val="Compact"/>
        <w:numPr>
          <w:ilvl w:val="0"/>
          <w:numId w:val="1010"/>
        </w:numPr>
      </w:pPr>
      <w:r>
        <w:rPr>
          <w:b/>
          <w:bCs/>
        </w:rPr>
        <w:t xml:space="preserve">Role capabilities</w:t>
      </w:r>
      <w:r>
        <w:t xml:space="preserve"> </w:t>
      </w:r>
      <w:r>
        <w:t xml:space="preserve">from the user’s roles (section 3), which say what kinds of action are possible at all.</w:t>
      </w:r>
    </w:p>
    <w:p>
      <w:pPr>
        <w:pStyle w:val="Compact"/>
        <w:numPr>
          <w:ilvl w:val="0"/>
          <w:numId w:val="1010"/>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0"/>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0"/>
        </w:numPr>
      </w:pPr>
      <w:r>
        <w:rPr>
          <w:b/>
          <w:bCs/>
        </w:rPr>
        <w:t xml:space="preserve">Object state</w:t>
      </w:r>
      <w:r>
        <w:t xml:space="preserve">: sealed and pinned objects are read-only to everyone including their owner; retired objects are readable only with an explicit audit grant.</w:t>
      </w:r>
    </w:p>
    <w:bookmarkEnd w:id="70"/>
    <w:bookmarkStart w:id="71"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1"/>
        </w:numPr>
      </w:pPr>
      <w:r>
        <w:t xml:space="preserve">Explicit deny on the object for this user → deny.</w:t>
      </w:r>
    </w:p>
    <w:p>
      <w:pPr>
        <w:pStyle w:val="Compact"/>
        <w:numPr>
          <w:ilvl w:val="0"/>
          <w:numId w:val="1011"/>
        </w:numPr>
      </w:pPr>
      <w:r>
        <w:t xml:space="preserve">Explicit user grant on the object → use it.</w:t>
      </w:r>
    </w:p>
    <w:p>
      <w:pPr>
        <w:pStyle w:val="Compact"/>
        <w:numPr>
          <w:ilvl w:val="0"/>
          <w:numId w:val="1011"/>
        </w:numPr>
      </w:pPr>
      <w:r>
        <w:t xml:space="preserve">Group or role grant on the object → highest level among matches.</w:t>
      </w:r>
    </w:p>
    <w:p>
      <w:pPr>
        <w:pStyle w:val="Compact"/>
        <w:numPr>
          <w:ilvl w:val="0"/>
          <w:numId w:val="1011"/>
        </w:numPr>
      </w:pPr>
      <w:r>
        <w:rPr>
          <w:rStyle w:val="VerbatimChar"/>
        </w:rPr>
        <w:t xml:space="preserve">everyone</w:t>
      </w:r>
      <w:r>
        <w:t xml:space="preserve"> </w:t>
      </w:r>
      <w:r>
        <w:t xml:space="preserve">grant on the object → use it.</w:t>
      </w:r>
    </w:p>
    <w:p>
      <w:pPr>
        <w:pStyle w:val="Compact"/>
        <w:numPr>
          <w:ilvl w:val="0"/>
          <w:numId w:val="1011"/>
        </w:numPr>
      </w:pPr>
      <w:r>
        <w:t xml:space="preserve">Inherited namespace default → use it.</w:t>
      </w:r>
    </w:p>
    <w:p>
      <w:pPr>
        <w:pStyle w:val="Compact"/>
        <w:numPr>
          <w:ilvl w:val="0"/>
          <w:numId w:val="1011"/>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1"/>
    <w:bookmarkStart w:id="72"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2"/>
    <w:bookmarkStart w:id="73"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3"/>
    <w:bookmarkStart w:id="74"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4"/>
    <w:bookmarkEnd w:id="75"/>
    <w:bookmarkStart w:id="76"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6"/>
    <w:bookmarkStart w:id="88"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78" name="Picture"/>
            <a:graphic>
              <a:graphicData uri="http://schemas.openxmlformats.org/drawingml/2006/picture">
                <pic:pic>
                  <pic:nvPicPr>
                    <pic:cNvPr descr="diagram-5.png" id="79" name="Picture"/>
                    <pic:cNvPicPr>
                      <a:picLocks noChangeArrowheads="1" noChangeAspect="1"/>
                    </pic:cNvPicPr>
                  </pic:nvPicPr>
                  <pic:blipFill>
                    <a:blip r:embed="rId77"/>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0"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0"/>
    <w:bookmarkStart w:id="81"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1"/>
    <w:bookmarkStart w:id="82"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2"/>
    <w:bookmarkStart w:id="87"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3"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3"/>
    <w:bookmarkStart w:id="84"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r>
        <w:tc>
          <w:tcPr/>
          <w:p>
            <w:pPr>
              <w:pStyle w:val="Compact"/>
            </w:pPr>
            <w:r>
              <w:rPr>
                <w:rStyle w:val="VerbatimChar"/>
              </w:rPr>
              <w:t xml:space="preserve">maya/observability/tracing</w:t>
            </w:r>
          </w:p>
        </w:tc>
        <w:tc>
          <w:tcPr/>
          <w:p>
            <w:pPr>
              <w:pStyle w:val="Compact"/>
            </w:pPr>
            <w:r>
              <w:rPr>
                <w:b/>
                <w:bCs/>
              </w:rPr>
              <w:t xml:space="preserve">A</w:t>
            </w:r>
          </w:p>
        </w:tc>
        <w:tc>
          <w:tcPr/>
          <w:p>
            <w:pPr>
              <w:pStyle w:val="Compact"/>
            </w:pPr>
            <w:r>
              <w:t xml:space="preserve">OpenTelemetry SDK</w:t>
            </w:r>
          </w:p>
        </w:tc>
        <w:tc>
          <w:tcPr/>
          <w:p>
            <w:pPr>
              <w:pStyle w:val="Compact"/>
            </w:pPr>
            <w:r>
              <w:t xml:space="preserve">MAYA’s own trace and span ids</w:t>
            </w:r>
          </w:p>
        </w:tc>
        <w:tc>
          <w:tcPr/>
          <w:p>
            <w:pPr>
              <w:pStyle w:val="Compact"/>
            </w:pPr>
            <w:r>
              <w:rPr>
                <w:i/>
                <w:iCs/>
              </w:rPr>
              <w:t xml:space="preserve">Revision 2.6:</w:t>
            </w:r>
            <w:r>
              <w:t xml:space="preserve"> </w:t>
            </w:r>
            <w:r>
              <w:t xml:space="preserve">a seam this table did not list. Trace ids still propagate into logs, audit entries and jobs, so a request stays followable; what is lost is export to a collector</w:t>
            </w:r>
          </w:p>
        </w:tc>
      </w:tr>
    </w:tbl>
    <w:p>
      <w:pPr>
        <w:pStyle w:val="BodyText"/>
      </w:pPr>
      <w:r>
        <w:rPr>
          <w:i/>
          <w:iCs/>
        </w:rPr>
        <w:t xml:space="preserve">Revision 2.6:</w:t>
      </w:r>
      <w:r>
        <w:t xml:space="preserve"> </w:t>
      </w:r>
      <w:r>
        <w:t xml:space="preserve">two things about the shape of this table.</w:t>
      </w:r>
      <w:r>
        <w:t xml:space="preserve"> </w:t>
      </w:r>
      <w:r>
        <w:rPr>
          <w:rStyle w:val="VerbatimChar"/>
        </w:rPr>
        <w:t xml:space="preserve">maya/core/backends.py</w:t>
      </w:r>
      <w:r>
        <w:t xml:space="preserve"> </w:t>
      </w:r>
      <w:r>
        <w:t xml:space="preserve">resolves</w:t>
      </w:r>
      <w:r>
        <w:t xml:space="preserve"> </w:t>
      </w:r>
      <w:r>
        <w:rPr>
          <w:b/>
          <w:bCs/>
        </w:rPr>
        <w:t xml:space="preserve">nineteen</w:t>
      </w:r>
      <w:r>
        <w:t xml:space="preserve"> </w:t>
      </w:r>
      <w:r>
        <w:t xml:space="preserve">seams, not the twenty-one rows above: the</w:t>
      </w:r>
      <w:r>
        <w:t xml:space="preserve"> </w:t>
      </w:r>
      <w:r>
        <w:rPr>
          <w:rStyle w:val="VerbatimChar"/>
        </w:rPr>
        <w:t xml:space="preserve">tracing</w:t>
      </w:r>
      <w:r>
        <w:t xml:space="preserve"> </w:t>
      </w:r>
      <w:r>
        <w:t xml:space="preserve">row was missing and is</w:t>
      </w:r>
      <w:r>
        <w:t xml:space="preserve"> </w:t>
      </w:r>
      <w:r>
        <w:t xml:space="preserve">added, and the</w:t>
      </w:r>
      <w:r>
        <w:t xml:space="preserve"> </w:t>
      </w:r>
      <w:r>
        <w:rPr>
          <w:b/>
          <w:bCs/>
        </w:rPr>
        <w:t xml:space="preserve">sandbox and SSO rows are not resolved there at all</w:t>
      </w:r>
      <w:r>
        <w:t xml:space="preserve">. Both keep Type C’s polarity —</w:t>
      </w:r>
      <w:r>
        <w:t xml:space="preserve"> </w:t>
      </w:r>
      <w:r>
        <w:t xml:space="preserve">neither ever downgrades quietly — but a sandbox tier is settled by a probe child that tries</w:t>
      </w:r>
      <w:r>
        <w:t xml:space="preserve"> </w:t>
      </w:r>
      <w:r>
        <w:t xml:space="preserve">to escape (</w:t>
      </w:r>
      <w:r>
        <w:rPr>
          <w:rStyle w:val="VerbatimChar"/>
        </w:rPr>
        <w:t xml:space="preserve">maya/security/sandbox.py</w:t>
      </w:r>
      <w:r>
        <w:t xml:space="preserve">) and SAML’s availability by a startup refusal naming</w:t>
      </w:r>
      <w:r>
        <w:t xml:space="preserve"> </w:t>
      </w:r>
      <w:r>
        <w:rPr>
          <w:rStyle w:val="VerbatimChar"/>
        </w:rPr>
        <w:t xml:space="preserve">xmlsec</w:t>
      </w:r>
      <w:r>
        <w:t xml:space="preserve"> </w:t>
      </w:r>
      <w:r>
        <w:t xml:space="preserve">(</w:t>
      </w:r>
      <w:r>
        <w:rPr>
          <w:rStyle w:val="VerbatimChar"/>
        </w:rPr>
        <w:t xml:space="preserve">maya/services/sso.py</w:t>
      </w:r>
      <w:r>
        <w:t xml:space="preserve">), because neither question is answered by whether a module</w:t>
      </w:r>
      <w:r>
        <w:t xml:space="preserve"> </w:t>
      </w:r>
      <w:r>
        <w:t xml:space="preserve">imports. They are reported on the health page beside the nineteen rather than among them.</w:t>
      </w:r>
      <w:r>
        <w:t xml:space="preserve"> </w:t>
      </w:r>
      <w:r>
        <w:t xml:space="preserve">The</w:t>
      </w:r>
      <w:r>
        <w:t xml:space="preserve"> </w:t>
      </w:r>
      <w:r>
        <w:rPr>
          <w:rStyle w:val="VerbatimChar"/>
        </w:rPr>
        <w:t xml:space="preserve">search</w:t>
      </w:r>
      <w:r>
        <w:t xml:space="preserve"> </w:t>
      </w:r>
      <w:r>
        <w:t xml:space="preserve">row has one backend on both databases and no fallback to choose (ADR-019).</w:t>
      </w:r>
    </w:p>
    <w:bookmarkEnd w:id="84"/>
    <w:bookmarkStart w:id="85" w:name="rules-that-apply-to-every-seam"/>
    <w:p>
      <w:pPr>
        <w:pStyle w:val="Heading4"/>
      </w:pPr>
      <w:r>
        <w:t xml:space="preserve">13.4.3 Rules that apply to every seam</w:t>
      </w:r>
    </w:p>
    <w:p>
      <w:pPr>
        <w:pStyle w:val="Compact"/>
        <w:numPr>
          <w:ilvl w:val="0"/>
          <w:numId w:val="1012"/>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2"/>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2"/>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2"/>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2"/>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2"/>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2"/>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5"/>
    <w:bookmarkStart w:id="86"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3"/>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3"/>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3"/>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3"/>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6"/>
    <w:bookmarkEnd w:id="87"/>
    <w:bookmarkEnd w:id="88"/>
    <w:bookmarkStart w:id="92"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89"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89"/>
    <w:bookmarkStart w:id="90"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0"/>
    <w:bookmarkStart w:id="91"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1"/>
    <w:bookmarkEnd w:id="92"/>
    <w:bookmarkStart w:id="97"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3"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3"/>
    <w:bookmarkStart w:id="94"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4"/>
    <w:bookmarkStart w:id="95"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5"/>
    <w:bookmarkStart w:id="96"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6"/>
    <w:bookmarkEnd w:id="97"/>
    <w:bookmarkStart w:id="105"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98"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p>
      <w:pPr>
        <w:pStyle w:val="BodyText"/>
      </w:pPr>
      <w:r>
        <w:rPr>
          <w:i/>
          <w:iCs/>
        </w:rPr>
        <w:t xml:space="preserve">Revision 2.6:</w:t>
      </w:r>
      <w:r>
        <w:t xml:space="preserve"> </w:t>
      </w:r>
      <w:r>
        <w:t xml:space="preserve">three things as built. A</w:t>
      </w:r>
      <w:r>
        <w:t xml:space="preserve"> </w:t>
      </w:r>
      <w:r>
        <w:rPr>
          <w:b/>
          <w:bCs/>
        </w:rPr>
        <w:t xml:space="preserve">seventh menu, Help</w:t>
      </w:r>
      <w:r>
        <w:t xml:space="preserve">, sits beside the six and is</w:t>
      </w:r>
      <w:r>
        <w:t xml:space="preserve"> </w:t>
      </w:r>
      <w:r>
        <w:t xml:space="preserve">public, because the argument for governing a model has to be readable by somebody who does</w:t>
      </w:r>
      <w:r>
        <w:t xml:space="preserve"> </w:t>
      </w:r>
      <w:r>
        <w:t xml:space="preserve">not yet have an account.</w:t>
      </w:r>
      <w:r>
        <w:t xml:space="preserve"> </w:t>
      </w:r>
      <w:r>
        <w:rPr>
          <w:b/>
          <w:bCs/>
        </w:rPr>
        <w:t xml:space="preserve">Admin is shown only to</w:t>
      </w:r>
      <w:r>
        <w:rPr>
          <w:b/>
          <w:bCs/>
        </w:rPr>
        <w:t xml:space="preserve"> </w:t>
      </w:r>
      <w:r>
        <w:rPr>
          <w:rStyle w:val="VerbatimChar"/>
          <w:b/>
          <w:bCs/>
        </w:rPr>
        <w:t xml:space="preserve">admin</w:t>
      </w:r>
      <w:r>
        <w:rPr>
          <w:b/>
          <w:bCs/>
        </w:rPr>
        <w:t xml:space="preserve"> </w:t>
      </w:r>
      <w:r>
        <w:rPr>
          <w:b/>
          <w:bCs/>
        </w:rPr>
        <w:t xml:space="preserve">and</w:t>
      </w:r>
      <w:r>
        <w:rPr>
          <w:b/>
          <w:bCs/>
        </w:rPr>
        <w:t xml:space="preserve"> </w:t>
      </w:r>
      <w:r>
        <w:rPr>
          <w:rStyle w:val="VerbatimChar"/>
          <w:b/>
          <w:bCs/>
        </w:rPr>
        <w:t xml:space="preserve">techops</w:t>
      </w:r>
      <w:r>
        <w:t xml:space="preserve">, so the bar a</w:t>
      </w:r>
      <w:r>
        <w:t xml:space="preserve"> </w:t>
      </w:r>
      <w:r>
        <w:t xml:space="preserve">reader sees has six menus or seven depending on who they are.</w:t>
      </w:r>
      <w:r>
        <w:t xml:space="preserve"> </w:t>
      </w:r>
      <w:r>
        <w:rPr>
          <w:rStyle w:val="VerbatimChar"/>
        </w:rPr>
        <w:t xml:space="preserve">⌘K</w:t>
      </w:r>
      <w:r>
        <w:t xml:space="preserve"> </w:t>
      </w:r>
      <w:r>
        <w:t xml:space="preserve">(and</w:t>
      </w:r>
      <w:r>
        <w:t xml:space="preserve"> </w:t>
      </w:r>
      <w:r>
        <w:rPr>
          <w:rStyle w:val="VerbatimChar"/>
        </w:rPr>
        <w:t xml:space="preserve">Ctrl-K</w:t>
      </w:r>
      <w:r>
        <w:t xml:space="preserve">) focuses the</w:t>
      </w:r>
      <w:r>
        <w:t xml:space="preserve"> </w:t>
      </w:r>
      <w:r>
        <w:t xml:space="preserve">navigation’s search box rather than opening a palette of its own, and what that search</w:t>
      </w:r>
      <w:r>
        <w:t xml:space="preserve"> </w:t>
      </w:r>
      <w:r>
        <w:t xml:space="preserve">reaches is the inverted index of ADR-019 — name, tags, namespace and description, ranked in</w:t>
      </w:r>
      <w:r>
        <w:t xml:space="preserve"> </w:t>
      </w:r>
      <w:r>
        <w:t xml:space="preserve">that order and filtered by read permission. It does not search by owner or along lineage;</w:t>
      </w:r>
      <w:r>
        <w:t xml:space="preserve"> </w:t>
      </w:r>
      <w:r>
        <w:t xml:space="preserve">the catalog’s facets do the first (§16.2) and the canvas the second (§16.3).</w:t>
      </w:r>
    </w:p>
    <w:p>
      <w:pPr>
        <w:pStyle w:val="BodyText"/>
      </w:pPr>
      <w:r>
        <w:rPr>
          <w:b/>
          <w:bCs/>
        </w:rPr>
        <w:t xml:space="preserve">The front door.</w:t>
      </w:r>
      <w:r>
        <w:t xml:space="preserve"> </w:t>
      </w:r>
      <w:r>
        <w:rPr>
          <w:rStyle w:val="VerbatimChar"/>
        </w:rPr>
        <w:t xml:space="preserve">/</w:t>
      </w:r>
      <w:r>
        <w:t xml:space="preserve"> </w:t>
      </w:r>
      <w:r>
        <w:t xml:space="preserve">is the</w:t>
      </w:r>
      <w:r>
        <w:t xml:space="preserve"> </w:t>
      </w:r>
      <w:r>
        <w:rPr>
          <w:b/>
          <w:bCs/>
        </w:rPr>
        <w:t xml:space="preserve">landing page</w:t>
      </w:r>
      <w:r>
        <w:t xml:space="preserve"> </w:t>
      </w:r>
      <w:r>
        <w:t xml:space="preserve">when nobody is signed in and the dashboard</w:t>
      </w:r>
      <w:r>
        <w:t xml:space="preserve"> </w:t>
      </w:r>
      <w:r>
        <w:t xml:space="preserve">when somebody is, and signing out returns to it rather than to the sign-in form. A visitor</w:t>
      </w:r>
      <w:r>
        <w:t xml:space="preserve"> </w:t>
      </w:r>
      <w:r>
        <w:t xml:space="preserve">handed a password box has been asked</w:t>
      </w:r>
      <w:r>
        <w:t xml:space="preserve"> </w:t>
      </w:r>
      <w:r>
        <w:t xml:space="preserve">“who are you”</w:t>
      </w:r>
      <w:r>
        <w:t xml:space="preserve"> </w:t>
      </w:r>
      <w:r>
        <w:t xml:space="preserve">before being told why they would want an</w:t>
      </w:r>
      <w:r>
        <w:t xml:space="preserve"> </w:t>
      </w:r>
      <w:r>
        <w:t xml:space="preserve">account here, and somebody who has just left is not halfway through arriving. The landing</w:t>
      </w:r>
      <w:r>
        <w:t xml:space="preserve"> </w:t>
      </w:r>
      <w:r>
        <w:t xml:space="preserve">page states what the platform is for and draws the chain it keeps — source data, a bitemporal</w:t>
      </w:r>
      <w:r>
        <w:t xml:space="preserve"> </w:t>
      </w:r>
      <w:r>
        <w:t xml:space="preserve">feature, a pin sealed by its own hash, a typed formula, a warrant without which nothing runs</w:t>
      </w:r>
      <w:r>
        <w:t xml:space="preserve"> </w:t>
      </w:r>
      <w:r>
        <w:t xml:space="preserve">— and every arrow in that figure is an object MAYA stores, so the illustration and the</w:t>
      </w:r>
      <w:r>
        <w:t xml:space="preserve"> </w:t>
      </w:r>
      <w:r>
        <w:t xml:space="preserve">argument are the same drawing. Help and About are reachable from it, which is what makes the</w:t>
      </w:r>
      <w:r>
        <w:t xml:space="preserve"> </w:t>
      </w:r>
      <w:r>
        <w:t xml:space="preserve">two doors it offers real ones.</w:t>
      </w:r>
    </w:p>
    <w:bookmarkEnd w:id="98"/>
    <w:bookmarkStart w:id="99"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 compute-kernel wizard</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p>
      <w:pPr>
        <w:pStyle w:val="BodyText"/>
      </w:pPr>
      <w:r>
        <w:rPr>
          <w:i/>
          <w:iCs/>
        </w:rPr>
        <w:t xml:space="preserve">Revision 2.6:</w:t>
      </w:r>
      <w:r>
        <w:t xml:space="preserve"> </w:t>
      </w:r>
      <w:r>
        <w:t xml:space="preserve">the</w:t>
      </w:r>
      <w:r>
        <w:t xml:space="preserve"> </w:t>
      </w:r>
      <w:r>
        <w:rPr>
          <w:b/>
          <w:bCs/>
        </w:rPr>
        <w:t xml:space="preserve">compute-kernel wizard</w:t>
      </w:r>
      <w:r>
        <w:t xml:space="preserve"> </w:t>
      </w:r>
      <w:r>
        <w:t xml:space="preserve">(</w:t>
      </w:r>
      <w:r>
        <w:rPr>
          <w:rStyle w:val="VerbatimChar"/>
        </w:rPr>
        <w:t xml:space="preserve">/models/kernel</w:t>
      </w:r>
      <w:r>
        <w:t xml:space="preserve">, SDK</w:t>
      </w:r>
      <w:r>
        <w:t xml:space="preserve"> </w:t>
      </w:r>
      <w:r>
        <w:rPr>
          <w:rStyle w:val="VerbatimChar"/>
        </w:rPr>
        <w:t xml:space="preserve">models.kernel</w:t>
      </w:r>
      <w:r>
        <w:t xml:space="preserve">) is the</w:t>
      </w:r>
      <w:r>
        <w:t xml:space="preserve"> </w:t>
      </w:r>
      <w:r>
        <w:t xml:space="preserve">translation step of registering a model, offered on its own. Mathematics goes in; what comes</w:t>
      </w:r>
      <w:r>
        <w:t xml:space="preserve"> </w:t>
      </w:r>
      <w:r>
        <w:t xml:space="preserve">back is the LaTeX rendered from the tree MAYA parsed rather than from the text that was</w:t>
      </w:r>
      <w:r>
        <w:t xml:space="preserve"> </w:t>
      </w:r>
      <w:r>
        <w:t xml:space="preserve">typed, so a misreading is visible; the typed IR a version would store, with its hash; the</w:t>
      </w:r>
      <w:r>
        <w:t xml:space="preserve"> </w:t>
      </w:r>
      <w:r>
        <w:t xml:space="preserve">inputs with the role each was given; and Python that computes it. It creates nothing and</w:t>
      </w:r>
      <w:r>
        <w:t xml:space="preserve"> </w:t>
      </w:r>
      <w:r>
        <w:t xml:space="preserve">reads nothing, and one button carries the formula and the roles into the designer when the</w:t>
      </w:r>
      <w:r>
        <w:t xml:space="preserve"> </w:t>
      </w:r>
      <w:r>
        <w:t xml:space="preserve">translation is right. The generated code is deliberately</w:t>
      </w:r>
      <w:r>
        <w:t xml:space="preserve"> </w:t>
      </w:r>
      <w:r>
        <w:rPr>
          <w:b/>
          <w:bCs/>
        </w:rPr>
        <w:t xml:space="preserve">not</w:t>
      </w:r>
      <w:r>
        <w:t xml:space="preserve"> </w:t>
      </w:r>
      <w:r>
        <w:t xml:space="preserve">the reference module of</w:t>
      </w:r>
      <w:r>
        <w:t xml:space="preserve"> </w:t>
      </w:r>
      <w:r>
        <w:t xml:space="preserve">§8.3:</w:t>
      </w:r>
      <w:r>
        <w:t xml:space="preserve"> </w:t>
      </w:r>
      <w:r>
        <w:rPr>
          <w:rStyle w:val="VerbatimChar"/>
        </w:rPr>
        <w:t xml:space="preserve">to_python_kernel</w:t>
      </w:r>
      <w:r>
        <w:t xml:space="preserve"> </w:t>
      </w:r>
      <w:r>
        <w:t xml:space="preserve">emits exactly one function, with its imports and helpers nested</w:t>
      </w:r>
      <w:r>
        <w:t xml:space="preserve"> </w:t>
      </w:r>
      <w:r>
        <w:t xml:space="preserve">inside it, because a file pasted into somebody else’s notebook must collide with nothing,</w:t>
      </w:r>
      <w:r>
        <w:t xml:space="preserve"> </w:t>
      </w:r>
      <w:r>
        <w:t xml:space="preserve">whereas the reference module is a file a validator runs on its own. Two generators over one</w:t>
      </w:r>
      <w:r>
        <w:t xml:space="preserve"> </w:t>
      </w:r>
      <w:r>
        <w:t xml:space="preserve">tree that disagreed would be a defect in one of them, so a test runs the kernel against the</w:t>
      </w:r>
      <w:r>
        <w:t xml:space="preserve"> </w:t>
      </w:r>
      <w:r>
        <w:t xml:space="preserve">reference implementation.</w:t>
      </w:r>
    </w:p>
    <w:bookmarkEnd w:id="99"/>
    <w:bookmarkStart w:id="100"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p>
      <w:pPr>
        <w:pStyle w:val="BodyText"/>
      </w:pPr>
      <w:r>
        <w:rPr>
          <w:i/>
          <w:iCs/>
        </w:rPr>
        <w:t xml:space="preserve">Revision 2.6:</w:t>
      </w:r>
      <w:r>
        <w:t xml:space="preserve"> </w:t>
      </w:r>
      <w:r>
        <w:rPr>
          <w:b/>
          <w:bCs/>
        </w:rPr>
        <w:t xml:space="preserve">a node carries its own name</w:t>
      </w:r>
      <w:r>
        <w:t xml:space="preserve">, which decides the geometry rather than</w:t>
      </w:r>
      <w:r>
        <w:t xml:space="preserve"> </w:t>
      </w:r>
      <w:r>
        <w:t xml:space="preserve">following from it. Nodes are boxes sized to the text inside them and the zoom is capped at</w:t>
      </w:r>
      <w:r>
        <w:t xml:space="preserve"> </w:t>
      </w:r>
      <w:r>
        <w:t xml:space="preserve">1:1, because shapes too small to hold a word left the label floating underneath and a</w:t>
      </w:r>
      <w:r>
        <w:t xml:space="preserve"> </w:t>
      </w:r>
      <w:r>
        <w:rPr>
          <w:rStyle w:val="VerbatimChar"/>
        </w:rPr>
        <w:t xml:space="preserve">fit()</w:t>
      </w:r>
      <w:r>
        <w:t xml:space="preserve"> </w:t>
      </w:r>
      <w:r>
        <w:t xml:space="preserve">that zoomed to fill the canvas magnified six of them into one line. The kind is</w:t>
      </w:r>
      <w:r>
        <w:t xml:space="preserve"> </w:t>
      </w:r>
      <w:r>
        <w:t xml:space="preserve">therefore carried by colour; only an operator keeps its diamond, since its labels are one</w:t>
      </w:r>
      <w:r>
        <w:t xml:space="preserve"> </w:t>
      </w:r>
      <w:r>
        <w:t xml:space="preserve">short word. A node is labelled with a name and a version rather than a whole ref —</w:t>
      </w:r>
      <w:r>
        <w:t xml:space="preserve"> </w:t>
      </w:r>
      <w:r>
        <w:rPr>
          <w:rStyle w:val="VerbatimChar"/>
        </w:rPr>
        <w:t xml:space="preserve">warrant/train/impairment/ecl_fit_2025h1@v1</w:t>
      </w:r>
      <w:r>
        <w:t xml:space="preserve"> </w:t>
      </w:r>
      <w:r>
        <w:t xml:space="preserve">drawn whole is four times the width of the</w:t>
      </w:r>
      <w:r>
        <w:t xml:space="preserve"> </w:t>
      </w:r>
      <w:r>
        <w:t xml:space="preserve">thing it names — a pin says that it is a pin, so that it and the version it seals are not</w:t>
      </w:r>
      <w:r>
        <w:t xml:space="preserve"> </w:t>
      </w:r>
      <w:r>
        <w:t xml:space="preserve">the same two lines twice, and a parameter set’s content hash is cut to the ten characters</w:t>
      </w:r>
      <w:r>
        <w:t xml:space="preserve"> </w:t>
      </w:r>
      <w:r>
        <w:t xml:space="preserve">that identify it here. A fan of edges that all say</w:t>
      </w:r>
      <w:r>
        <w:t xml:space="preserve"> </w:t>
      </w:r>
      <w:r>
        <w:rPr>
          <w:rStyle w:val="VerbatimChar"/>
        </w:rPr>
        <w:t xml:space="preserve">parameterized_by</w:t>
      </w:r>
      <w:r>
        <w:t xml:space="preserve"> </w:t>
      </w:r>
      <w:r>
        <w:t xml:space="preserve">writes that word once,</w:t>
      </w:r>
      <w:r>
        <w:t xml:space="preserve"> </w:t>
      </w:r>
      <w:r>
        <w:t xml:space="preserve">and</w:t>
      </w:r>
      <w:r>
        <w:t xml:space="preserve"> </w:t>
      </w:r>
      <w:r>
        <w:rPr>
          <w:b/>
          <w:bCs/>
        </w:rPr>
        <w:t xml:space="preserve">the status line says how many repeats went unnamed</w:t>
      </w:r>
      <w:r>
        <w:t xml:space="preserve">, because the rule everywhere else</w:t>
      </w:r>
      <w:r>
        <w:t xml:space="preserve"> </w:t>
      </w:r>
      <w:r>
        <w:t xml:space="preserve">in MAYA applies to a drawing too: nothing is hidden silently (see the</w:t>
      </w:r>
      <w:r>
        <w:t xml:space="preserve"> </w:t>
      </w:r>
      <w:r>
        <w:rPr>
          <w:rStyle w:val="VerbatimChar"/>
        </w:rPr>
        <w:t xml:space="preserve">hidden</w:t>
      </w:r>
      <w:r>
        <w:t xml:space="preserve"> </w:t>
      </w:r>
      <w:r>
        <w:t xml:space="preserve">count on</w:t>
      </w:r>
      <w:r>
        <w:t xml:space="preserve"> </w:t>
      </w:r>
      <w:r>
        <w:rPr>
          <w:rStyle w:val="VerbatimChar"/>
        </w:rPr>
        <w:t xml:space="preserve">GET /lineage</w:t>
      </w:r>
      <w:r>
        <w:t xml:space="preserve"> </w:t>
      </w:r>
      <w:r>
        <w:t xml:space="preserve">for objects the caller may not read).</w:t>
      </w:r>
    </w:p>
    <w:bookmarkEnd w:id="100"/>
    <w:bookmarkStart w:id="101"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1"/>
    <w:bookmarkStart w:id="102"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2"/>
    <w:bookmarkStart w:id="103"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3"/>
    <w:bookmarkStart w:id="104"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4"/>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4"/>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4"/>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4"/>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4"/>
    <w:bookmarkEnd w:id="105"/>
    <w:bookmarkStart w:id="109"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6"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i/>
          <w:iCs/>
        </w:rPr>
        <w:t xml:space="preserve">Revision 2.6:</w:t>
      </w:r>
      <w:r>
        <w:t xml:space="preserve"> </w:t>
      </w:r>
      <w:r>
        <w:t xml:space="preserve">the rule that closes the preview is worth stating, because a preview with a hole in it tells a reader about itself instead of about their document. Headings render wherever they stand rather than only at the start of a paragraph; lists, display-maths environments, verbatim blocks and the transparent wrappers render; an environment the renderer does not typeset — a</w:t>
      </w:r>
      <w:r>
        <w:t xml:space="preserve"> </w:t>
      </w:r>
      <w:r>
        <w:rPr>
          <w:rStyle w:val="VerbatimChar"/>
        </w:rPr>
        <w:t xml:space="preserve">tabular</w:t>
      </w:r>
      <w:r>
        <w:t xml:space="preserve"> </w:t>
      </w:r>
      <w:r>
        <w:t xml:space="preserve">above all —</w:t>
      </w:r>
      <w:r>
        <w:t xml:space="preserve"> </w:t>
      </w:r>
      <w:r>
        <w:rPr>
          <w:b/>
          <w:bCs/>
        </w:rPr>
        <w:t xml:space="preserve">names itself as skipped</w:t>
      </w:r>
      <w:r>
        <w:t xml:space="preserve"> </w:t>
      </w:r>
      <w:r>
        <w:t xml:space="preserve">and says the PDF build carries it; and</w:t>
      </w:r>
      <w:r>
        <w:t xml:space="preserve"> </w:t>
      </w:r>
      <w:r>
        <w:rPr>
          <w:b/>
          <w:bCs/>
        </w:rPr>
        <w:t xml:space="preserve">nothing backslash-shaped reaches the reader</w:t>
      </w:r>
      <w:r>
        <w:t xml:space="preserve">: an unknown</w:t>
      </w:r>
      <w:r>
        <w:t xml:space="preserve"> </w:t>
      </w:r>
      <w:r>
        <w:rPr>
          <w:rStyle w:val="VerbatimChar"/>
        </w:rPr>
        <w:t xml:space="preserve">\command{arg}</w:t>
      </w:r>
      <w:r>
        <w:t xml:space="preserve"> </w:t>
      </w:r>
      <w:r>
        <w:t xml:space="preserve">renders</w:t>
      </w:r>
      <w:r>
        <w:t xml:space="preserve"> </w:t>
      </w:r>
      <w:r>
        <w:rPr>
          <w:rStyle w:val="VerbatimChar"/>
        </w:rPr>
        <w:t xml:space="preserve">arg</w:t>
      </w:r>
      <w:r>
        <w:t xml:space="preserve"> </w:t>
      </w:r>
      <w:r>
        <w:t xml:space="preserve">and a bare</w:t>
      </w:r>
      <w:r>
        <w:t xml:space="preserve"> </w:t>
      </w:r>
      <w:r>
        <w:rPr>
          <w:rStyle w:val="VerbatimChar"/>
        </w:rPr>
        <w:t xml:space="preserve">\command</w:t>
      </w:r>
      <w:r>
        <w:t xml:space="preserve"> </w:t>
      </w:r>
      <w:r>
        <w:t xml:space="preserve">disappears. Escaped characters are set aside before the maths scanner runs, so</w:t>
      </w:r>
      <w:r>
        <w:t xml:space="preserve"> </w:t>
      </w:r>
      <w:r>
        <w:rPr>
          <w:rStyle w:val="VerbatimChar"/>
        </w:rPr>
        <w:t xml:space="preserve">\$5</w:t>
      </w:r>
      <w:r>
        <w:t xml:space="preserve"> </w:t>
      </w:r>
      <w:r>
        <w:t xml:space="preserve">cannot open an equation.</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6"/>
    <w:bookmarkStart w:id="107"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5"/>
        </w:numPr>
      </w:pPr>
      <w:r>
        <w:t xml:space="preserve">Parse and lint (</w:t>
      </w:r>
      <w:r>
        <w:rPr>
          <w:rStyle w:val="VerbatimChar"/>
        </w:rPr>
        <w:t xml:space="preserve">ruff</w:t>
      </w:r>
      <w:r>
        <w:t xml:space="preserve">), with a MAYA rule set.</w:t>
      </w:r>
    </w:p>
    <w:p>
      <w:pPr>
        <w:pStyle w:val="Compact"/>
        <w:numPr>
          <w:ilvl w:val="0"/>
          <w:numId w:val="1015"/>
        </w:numPr>
      </w:pPr>
      <w:r>
        <w:t xml:space="preserve">Entry point and signature check against the declared interface.</w:t>
      </w:r>
    </w:p>
    <w:p>
      <w:pPr>
        <w:pStyle w:val="Compact"/>
        <w:numPr>
          <w:ilvl w:val="0"/>
          <w:numId w:val="1015"/>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5"/>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5"/>
        </w:numPr>
      </w:pPr>
      <w:r>
        <w:t xml:space="preserve">Smoke run in a sandboxed subprocess against a sample from the declared feature set, with CPU, memory, wall-clock and output-size caps, no network, and a read-only filesystem.</w:t>
      </w:r>
    </w:p>
    <w:p>
      <w:pPr>
        <w:pStyle w:val="Compact"/>
        <w:numPr>
          <w:ilvl w:val="0"/>
          <w:numId w:val="1015"/>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07"/>
    <w:bookmarkStart w:id="108"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08"/>
    <w:bookmarkEnd w:id="109"/>
    <w:bookmarkStart w:id="121"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0"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0"/>
    <w:bookmarkStart w:id="118"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1" w:name="principles"/>
    <w:p>
      <w:pPr>
        <w:pStyle w:val="Heading4"/>
      </w:pPr>
      <w:r>
        <w:t xml:space="preserve">18.2.1 Principles</w:t>
      </w:r>
    </w:p>
    <w:p>
      <w:pPr>
        <w:pStyle w:val="Compact"/>
        <w:numPr>
          <w:ilvl w:val="0"/>
          <w:numId w:val="1016"/>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6"/>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6"/>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6"/>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6"/>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1"/>
    <w:bookmarkStart w:id="112"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2"/>
    <w:bookmarkStart w:id="113"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7"/>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7"/>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7"/>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7"/>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7"/>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7"/>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3"/>
    <w:bookmarkStart w:id="114"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4"/>
    <w:bookmarkStart w:id="115"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5"/>
    <w:bookmarkStart w:id="116"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6"/>
    <w:bookmarkStart w:id="117"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17"/>
    <w:bookmarkEnd w:id="118"/>
    <w:bookmarkStart w:id="119"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list|show|quick|upload|pin|download|diff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push|import-workbook|validate|diff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export bundle|verify</w:t>
      </w:r>
      <w:r>
        <w:t xml:space="preserve">,</w:t>
      </w:r>
      <w:r>
        <w:t xml:space="preserve"> </w:t>
      </w:r>
      <w:r>
        <w:rPr>
          <w:rStyle w:val="VerbatimChar"/>
        </w:rPr>
        <w:t xml:space="preserve">maya key list|create|rotate|revoke|report</w:t>
      </w:r>
      <w:r>
        <w:t xml:space="preserve"> </w:t>
      </w:r>
      <w:r>
        <w:t xml:space="preserve">and</w:t>
      </w:r>
      <w:r>
        <w:t xml:space="preserve"> </w:t>
      </w:r>
      <w:r>
        <w:rPr>
          <w:rStyle w:val="VerbatimChar"/>
        </w:rPr>
        <w:t xml:space="preserve">maya credential list|create</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p>
      <w:pPr>
        <w:pStyle w:val="BodyText"/>
      </w:pPr>
      <w:r>
        <w:rPr>
          <w:i/>
          <w:iCs/>
        </w:rPr>
        <w:t xml:space="preserve">Revision 2.6:</w:t>
      </w:r>
      <w:r>
        <w:t xml:space="preserve"> </w:t>
      </w:r>
      <w:r>
        <w:t xml:space="preserve">the administrative half is spelled out rather than implied. There is no</w:t>
      </w:r>
      <w:r>
        <w:t xml:space="preserve"> </w:t>
      </w:r>
      <w:r>
        <w:rPr>
          <w:rStyle w:val="VerbatimChar"/>
        </w:rPr>
        <w:t xml:space="preserve">maya admin user</w:t>
      </w:r>
      <w:r>
        <w:t xml:space="preserve">: each is a verb of its own, because these are scripted one at a time and a group that dispatches on a second positional word reads worse in a shell history.</w:t>
      </w:r>
      <w:r>
        <w:t xml:space="preserve"> </w:t>
      </w:r>
      <w:r>
        <w:rPr>
          <w:rStyle w:val="VerbatimChar"/>
        </w:rPr>
        <w:t xml:space="preserve">maya admin user-list|user-create|user-roles</w:t>
      </w:r>
      <w:r>
        <w:t xml:space="preserve">,</w:t>
      </w:r>
      <w:r>
        <w:t xml:space="preserve"> </w:t>
      </w:r>
      <w:r>
        <w:rPr>
          <w:rStyle w:val="VerbatimChar"/>
        </w:rPr>
        <w:t xml:space="preserve">role-list|role-create</w:t>
      </w:r>
      <w:r>
        <w:t xml:space="preserve">,</w:t>
      </w:r>
      <w:r>
        <w:t xml:space="preserve"> </w:t>
      </w:r>
      <w:r>
        <w:rPr>
          <w:rStyle w:val="VerbatimChar"/>
        </w:rPr>
        <w:t xml:space="preserve">namespace-list|namespace-create</w:t>
      </w:r>
      <w:r>
        <w:t xml:space="preserve">,</w:t>
      </w:r>
      <w:r>
        <w:t xml:space="preserve"> </w:t>
      </w:r>
      <w:r>
        <w:rPr>
          <w:rStyle w:val="VerbatimChar"/>
        </w:rPr>
        <w:t xml:space="preserve">grant-list|grant-add</w:t>
      </w:r>
      <w:r>
        <w:t xml:space="preserve">,</w:t>
      </w:r>
      <w:r>
        <w:t xml:space="preserve"> </w:t>
      </w:r>
      <w:r>
        <w:rPr>
          <w:rStyle w:val="VerbatimChar"/>
        </w:rPr>
        <w:t xml:space="preserve">policy-list|policy-show|policy-import|policy-activate</w:t>
      </w:r>
      <w:r>
        <w:t xml:space="preserve">,</w:t>
      </w:r>
      <w:r>
        <w:t xml:space="preserve"> </w:t>
      </w:r>
      <w:r>
        <w:rPr>
          <w:rStyle w:val="VerbatimChar"/>
        </w:rPr>
        <w:t xml:space="preserve">verify-integrity</w:t>
      </w:r>
      <w:r>
        <w:t xml:space="preserve">,</w:t>
      </w:r>
      <w:r>
        <w:t xml:space="preserve"> </w:t>
      </w:r>
      <w:r>
        <w:rPr>
          <w:rStyle w:val="VerbatimChar"/>
        </w:rPr>
        <w:t xml:space="preserve">record-drill|drills</w:t>
      </w:r>
      <w:r>
        <w:t xml:space="preserve">,</w:t>
      </w:r>
      <w:r>
        <w:t xml:space="preserve"> </w:t>
      </w:r>
      <w:r>
        <w:rPr>
          <w:rStyle w:val="VerbatimChar"/>
        </w:rPr>
        <w:t xml:space="preserve">cold-pins|archive-pin|restore-pin|collect-fragments</w:t>
      </w:r>
      <w:r>
        <w:t xml:space="preserve">, and the three that run beside the database rather than through a server —</w:t>
      </w:r>
      <w:r>
        <w:t xml:space="preserve"> </w:t>
      </w:r>
      <w:r>
        <w:rPr>
          <w:rStyle w:val="VerbatimChar"/>
        </w:rPr>
        <w:t xml:space="preserve">init-db</w:t>
      </w:r>
      <w:r>
        <w:t xml:space="preserve">,</w:t>
      </w:r>
      <w:r>
        <w:t xml:space="preserve"> </w:t>
      </w:r>
      <w:r>
        <w:rPr>
          <w:rStyle w:val="VerbatimChar"/>
        </w:rPr>
        <w:t xml:space="preserve">export-estate</w:t>
      </w:r>
      <w:r>
        <w:t xml:space="preserve">,</w:t>
      </w:r>
      <w:r>
        <w:t xml:space="preserve"> </w:t>
      </w:r>
      <w:r>
        <w:rPr>
          <w:rStyle w:val="VerbatimChar"/>
        </w:rPr>
        <w:t xml:space="preserve">import-estate</w:t>
      </w:r>
      <w:r>
        <w:t xml:space="preserve"> </w:t>
      </w:r>
      <w:r>
        <w:t xml:space="preserve">(§14.3).</w:t>
      </w:r>
    </w:p>
    <w:bookmarkEnd w:id="119"/>
    <w:bookmarkStart w:id="120"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0"/>
    <w:bookmarkEnd w:id="121"/>
    <w:bookmarkStart w:id="122"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18"/>
        </w:numPr>
      </w:pPr>
      <w:r>
        <w:rPr>
          <w:i/>
          <w:iCs/>
        </w:rPr>
        <w:t xml:space="preserve">Upstream</w:t>
      </w:r>
      <w:r>
        <w:t xml:space="preserve">: given this production number, what model, parameters, feature set, features, sources and people produced it?</w:t>
      </w:r>
    </w:p>
    <w:p>
      <w:pPr>
        <w:pStyle w:val="Compact"/>
        <w:numPr>
          <w:ilvl w:val="0"/>
          <w:numId w:val="1018"/>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2"/>
    <w:bookmarkStart w:id="123" w:name="observability-and-operations"/>
    <w:p>
      <w:pPr>
        <w:pStyle w:val="Heading2"/>
      </w:pPr>
      <w:r>
        <w:t xml:space="preserve">20. Observability and operations</w:t>
      </w:r>
    </w:p>
    <w:p>
      <w:pPr>
        <w:pStyle w:val="FirstParagraph"/>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3"/>
    <w:bookmarkStart w:id="127" w:name="security-and-model-risk-governance"/>
    <w:p>
      <w:pPr>
        <w:pStyle w:val="Heading2"/>
      </w:pPr>
      <w:r>
        <w:t xml:space="preserve">21. Security and model risk governance</w:t>
      </w:r>
    </w:p>
    <w:bookmarkStart w:id="124"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4"/>
    <w:bookmarkStart w:id="125"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5"/>
    <w:bookmarkStart w:id="126"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19"/>
        </w:numPr>
      </w:pPr>
      <w:r>
        <w:rPr>
          <w:b/>
          <w:bCs/>
        </w:rPr>
        <w:t xml:space="preserve">Inventory</w:t>
      </w:r>
      <w:r>
        <w:t xml:space="preserve">: a complete, queryable register of models, their versions, owners, maturity, dependencies and use, exportable on demand.</w:t>
      </w:r>
    </w:p>
    <w:p>
      <w:pPr>
        <w:pStyle w:val="Compact"/>
        <w:numPr>
          <w:ilvl w:val="0"/>
          <w:numId w:val="1019"/>
        </w:numPr>
      </w:pPr>
      <w:r>
        <w:rPr>
          <w:b/>
          <w:bCs/>
        </w:rPr>
        <w:t xml:space="preserve">Documentation</w:t>
      </w:r>
      <w:r>
        <w:t xml:space="preserve">: the spec document is mandatory, structured and versioned with the model.</w:t>
      </w:r>
    </w:p>
    <w:p>
      <w:pPr>
        <w:pStyle w:val="Compact"/>
        <w:numPr>
          <w:ilvl w:val="0"/>
          <w:numId w:val="1019"/>
        </w:numPr>
      </w:pPr>
      <w:r>
        <w:rPr>
          <w:b/>
          <w:bCs/>
        </w:rPr>
        <w:t xml:space="preserve">Independent review</w:t>
      </w:r>
      <w:r>
        <w:t xml:space="preserve">: segregation of duties enforced in workflow; validator comments and conclusions recorded against a version.</w:t>
      </w:r>
    </w:p>
    <w:p>
      <w:pPr>
        <w:pStyle w:val="Compact"/>
        <w:numPr>
          <w:ilvl w:val="0"/>
          <w:numId w:val="1019"/>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19"/>
        </w:numPr>
      </w:pPr>
      <w:r>
        <w:rPr>
          <w:b/>
          <w:bCs/>
        </w:rPr>
        <w:t xml:space="preserve">Limitations and assumptions</w:t>
      </w:r>
      <w:r>
        <w:t xml:space="preserve">: required sections that block approval when empty.</w:t>
      </w:r>
    </w:p>
    <w:p>
      <w:pPr>
        <w:pStyle w:val="Compact"/>
        <w:numPr>
          <w:ilvl w:val="0"/>
          <w:numId w:val="1019"/>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19"/>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6"/>
    <w:bookmarkEnd w:id="127"/>
    <w:bookmarkStart w:id="132" w:name="engineering-standards"/>
    <w:p>
      <w:pPr>
        <w:pStyle w:val="Heading2"/>
      </w:pPr>
      <w:r>
        <w:t xml:space="preserve">22. Engineering standards</w:t>
      </w:r>
    </w:p>
    <w:bookmarkStart w:id="128"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0"/>
        </w:numPr>
      </w:pPr>
      <w:r>
        <w:t xml:space="preserve">One aggregate per module; one responsibility per class.</w:t>
      </w:r>
    </w:p>
    <w:p>
      <w:pPr>
        <w:pStyle w:val="Compact"/>
        <w:numPr>
          <w:ilvl w:val="0"/>
          <w:numId w:val="1020"/>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0"/>
        </w:numPr>
      </w:pPr>
      <w:r>
        <w:t xml:space="preserve">Composition over inheritance; inheritance depth capped at 3.</w:t>
      </w:r>
    </w:p>
    <w:p>
      <w:pPr>
        <w:pStyle w:val="Compact"/>
        <w:numPr>
          <w:ilvl w:val="0"/>
          <w:numId w:val="1020"/>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0"/>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28"/>
    <w:bookmarkStart w:id="129"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29"/>
    <w:bookmarkStart w:id="130"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p>
      <w:pPr>
        <w:pStyle w:val="BodyText"/>
      </w:pPr>
      <w:r>
        <w:rPr>
          <w:i/>
          <w:iCs/>
        </w:rPr>
        <w:t xml:space="preserve">Revision 2.6:</w:t>
      </w:r>
      <w:r>
        <w:t xml:space="preserve"> </w:t>
      </w:r>
      <w:r>
        <w:rPr>
          <w:rStyle w:val="VerbatimChar"/>
          <w:b/>
          <w:bCs/>
        </w:rPr>
        <w:t xml:space="preserve">domain/</w:t>
      </w:r>
      <w:r>
        <w:rPr>
          <w:b/>
          <w:bCs/>
        </w:rPr>
        <w:t xml:space="preserve"> </w:t>
      </w:r>
      <w:r>
        <w:rPr>
          <w:b/>
          <w:bCs/>
        </w:rPr>
        <w:t xml:space="preserve">and</w:t>
      </w:r>
      <w:r>
        <w:rPr>
          <w:b/>
          <w:bCs/>
        </w:rPr>
        <w:t xml:space="preserve"> </w:t>
      </w:r>
      <w:r>
        <w:rPr>
          <w:rStyle w:val="VerbatimChar"/>
          <w:b/>
          <w:bCs/>
        </w:rPr>
        <w:t xml:space="preserve">ports/</w:t>
      </w:r>
      <w:r>
        <w:rPr>
          <w:b/>
          <w:bCs/>
        </w:rPr>
        <w:t xml:space="preserve"> </w:t>
      </w:r>
      <w:r>
        <w:rPr>
          <w:b/>
          <w:bCs/>
        </w:rPr>
        <w:t xml:space="preserve">were never built</w:t>
      </w:r>
      <w:r>
        <w:t xml:space="preserve"> </w:t>
      </w:r>
      <w:r>
        <w:t xml:space="preserve">and this drawing is older than</w:t>
      </w:r>
      <w:r>
        <w:t xml:space="preserve"> </w:t>
      </w:r>
      <w:r>
        <w:t xml:space="preserve">the code (ADR-001). Domain rules live in</w:t>
      </w:r>
      <w:r>
        <w:t xml:space="preserve"> </w:t>
      </w:r>
      <w:r>
        <w:rPr>
          <w:rStyle w:val="VerbatimChar"/>
        </w:rPr>
        <w:t xml:space="preserve">maya/services/</w:t>
      </w:r>
      <w:r>
        <w:t xml:space="preserve">, and the ports are the repository</w:t>
      </w:r>
      <w:r>
        <w:t xml:space="preserve"> </w:t>
      </w:r>
      <w:r>
        <w:t xml:space="preserve">and lake interfaces in</w:t>
      </w:r>
      <w:r>
        <w:t xml:space="preserve"> </w:t>
      </w:r>
      <w:r>
        <w:rPr>
          <w:rStyle w:val="VerbatimChar"/>
        </w:rPr>
        <w:t xml:space="preserve">maya/persistence/</w:t>
      </w:r>
      <w:r>
        <w:t xml:space="preserve"> </w:t>
      </w:r>
      <w:r>
        <w:t xml:space="preserve">and</w:t>
      </w:r>
      <w:r>
        <w:t xml:space="preserve"> </w:t>
      </w:r>
      <w:r>
        <w:rPr>
          <w:rStyle w:val="VerbatimChar"/>
        </w:rPr>
        <w:t xml:space="preserve">maya/storage/</w:t>
      </w:r>
      <w:r>
        <w:t xml:space="preserve">. The drawing is kept as the</w:t>
      </w:r>
      <w:r>
        <w:t xml:space="preserve"> </w:t>
      </w:r>
      <w:r>
        <w:t xml:space="preserve">shape that was intended, because the boundaries it was drawn to protect are the ones the</w:t>
      </w:r>
      <w:r>
        <w:t xml:space="preserve"> </w:t>
      </w:r>
      <w:r>
        <w:t xml:space="preserve">gates enforce by module name —</w:t>
      </w:r>
      <w:r>
        <w:t xml:space="preserve"> </w:t>
      </w:r>
      <w:r>
        <w:rPr>
          <w:rStyle w:val="VerbatimChar"/>
        </w:rPr>
        <w:t xml:space="preserve">maya.persistence</w:t>
      </w:r>
      <w:r>
        <w:t xml:space="preserve"> </w:t>
      </w:r>
      <w:r>
        <w:t xml:space="preserve">and</w:t>
      </w:r>
      <w:r>
        <w:t xml:space="preserve"> </w:t>
      </w:r>
      <w:r>
        <w:rPr>
          <w:rStyle w:val="VerbatimChar"/>
        </w:rPr>
        <w:t xml:space="preserve">maya.sdk</w:t>
      </w:r>
      <w:r>
        <w:t xml:space="preserve"> </w:t>
      </w:r>
      <w:r>
        <w:t xml:space="preserve">— and those exist. What</w:t>
      </w:r>
      <w:r>
        <w:t xml:space="preserve"> </w:t>
      </w:r>
      <w:r>
        <w:t xml:space="preserve">was lost is the cheap answer to</w:t>
      </w:r>
      <w:r>
        <w:t xml:space="preserve"> </w:t>
      </w:r>
      <w:r>
        <w:t xml:space="preserve">“where does a rule with no I/O live”</w:t>
      </w:r>
      <w:r>
        <w:t xml:space="preserve">; in practice it lives</w:t>
      </w:r>
      <w:r>
        <w:t xml:space="preserve"> </w:t>
      </w:r>
      <w:r>
        <w:t xml:space="preserve">in a service beside the transaction that uses it, and a service module grows until the file</w:t>
      </w:r>
      <w:r>
        <w:t xml:space="preserve"> </w:t>
      </w:r>
      <w:r>
        <w:t xml:space="preserve">size gate notices.</w:t>
      </w:r>
    </w:p>
    <w:bookmarkEnd w:id="130"/>
    <w:bookmarkStart w:id="131"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1"/>
    <w:bookmarkEnd w:id="132"/>
    <w:bookmarkStart w:id="133"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3"/>
    <w:bookmarkStart w:id="139" w:name="deployment-configuration-and-capacity"/>
    <w:p>
      <w:pPr>
        <w:pStyle w:val="Heading2"/>
      </w:pPr>
      <w:r>
        <w:t xml:space="preserve">24. Deployment, configuration and capacity</w:t>
      </w:r>
    </w:p>
    <w:bookmarkStart w:id="134"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4"/>
    <w:bookmarkStart w:id="135"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35"/>
    <w:bookmarkStart w:id="136"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36"/>
    <w:bookmarkStart w:id="137"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37"/>
    <w:bookmarkStart w:id="138"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38"/>
    <w:bookmarkEnd w:id="139"/>
    <w:bookmarkStart w:id="140"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0"/>
    <w:bookmarkStart w:id="144" w:name="roadmap-risks-and-open-decisions"/>
    <w:p>
      <w:pPr>
        <w:pStyle w:val="Heading2"/>
      </w:pPr>
      <w:r>
        <w:t xml:space="preserve">26. Roadmap, risks and open decisions</w:t>
      </w:r>
    </w:p>
    <w:bookmarkStart w:id="141"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1"/>
    <w:bookmarkStart w:id="142"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2"/>
    <w:bookmarkStart w:id="143"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1"/>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1"/>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3"/>
    <w:bookmarkEnd w:id="144"/>
    <w:bookmarkStart w:id="160"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bookmarkStart w:id="149"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45">
              <w:r>
                <w:rPr>
                  <w:rStyle w:val="Hyperlink"/>
                </w:rPr>
                <w:t xml:space="preserve">Tecton</w:t>
              </w:r>
            </w:hyperlink>
            <w:r>
              <w:t xml:space="preserve">,</w:t>
            </w:r>
            <w:r>
              <w:t xml:space="preserve"> </w:t>
            </w:r>
            <w:hyperlink r:id="rId146">
              <w:r>
                <w:rPr>
                  <w:rStyle w:val="Hyperlink"/>
                </w:rPr>
                <w:t xml:space="preserve">Feast</w:t>
              </w:r>
            </w:hyperlink>
            <w:r>
              <w:t xml:space="preserve"> </w:t>
            </w:r>
            <w:r>
              <w:t xml:space="preserve">(Linux Foundation), Databricks Feature Engineering,</w:t>
            </w:r>
            <w:r>
              <w:t xml:space="preserve"> </w:t>
            </w:r>
            <w:hyperlink r:id="rId147">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48">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49"/>
    <w:bookmarkStart w:id="150"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0"/>
    <w:bookmarkStart w:id="151"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1"/>
    <w:bookmarkStart w:id="159"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2">
        <w:r>
          <w:rPr>
            <w:rStyle w:val="Hyperlink"/>
          </w:rPr>
          <w:t xml:space="preserve">SR 26-2 analysis, IBM Promontory</w:t>
        </w:r>
      </w:hyperlink>
      <w:r>
        <w:t xml:space="preserve"> </w:t>
      </w:r>
      <w:r>
        <w:t xml:space="preserve">·</w:t>
      </w:r>
      <w:r>
        <w:t xml:space="preserve"> </w:t>
      </w:r>
      <w:hyperlink r:id="rId153">
        <w:r>
          <w:rPr>
            <w:rStyle w:val="Hyperlink"/>
          </w:rPr>
          <w:t xml:space="preserve">Revised MRM guidance, April 2026</w:t>
        </w:r>
      </w:hyperlink>
      <w:r>
        <w:t xml:space="preserve"> </w:t>
      </w:r>
      <w:r>
        <w:t xml:space="preserve">·</w:t>
      </w:r>
      <w:r>
        <w:t xml:space="preserve"> </w:t>
      </w:r>
      <w:hyperlink r:id="rId154">
        <w:r>
          <w:rPr>
            <w:rStyle w:val="Hyperlink"/>
          </w:rPr>
          <w:t xml:space="preserve">MRM software landscape 2026</w:t>
        </w:r>
      </w:hyperlink>
      <w:r>
        <w:t xml:space="preserve"> </w:t>
      </w:r>
      <w:r>
        <w:t xml:space="preserve">·</w:t>
      </w:r>
      <w:r>
        <w:t xml:space="preserve"> </w:t>
      </w:r>
      <w:hyperlink r:id="rId155">
        <w:r>
          <w:rPr>
            <w:rStyle w:val="Hyperlink"/>
          </w:rPr>
          <w:t xml:space="preserve">lakeFS 2025 release review and DVC acquisition</w:t>
        </w:r>
      </w:hyperlink>
      <w:r>
        <w:t xml:space="preserve"> </w:t>
      </w:r>
      <w:r>
        <w:t xml:space="preserve">·</w:t>
      </w:r>
      <w:r>
        <w:t xml:space="preserve"> </w:t>
      </w:r>
      <w:hyperlink r:id="rId156">
        <w:r>
          <w:rPr>
            <w:rStyle w:val="Hyperlink"/>
          </w:rPr>
          <w:t xml:space="preserve">Iceberg branches and tags</w:t>
        </w:r>
      </w:hyperlink>
      <w:r>
        <w:t xml:space="preserve"> </w:t>
      </w:r>
      <w:r>
        <w:t xml:space="preserve">·</w:t>
      </w:r>
      <w:r>
        <w:t xml:space="preserve"> </w:t>
      </w:r>
      <w:hyperlink r:id="rId157">
        <w:r>
          <w:rPr>
            <w:rStyle w:val="Hyperlink"/>
          </w:rPr>
          <w:t xml:space="preserve">Feature store comparison, 2026</w:t>
        </w:r>
      </w:hyperlink>
      <w:r>
        <w:t xml:space="preserve"> </w:t>
      </w:r>
      <w:r>
        <w:t xml:space="preserve">·</w:t>
      </w:r>
      <w:r>
        <w:t xml:space="preserve"> </w:t>
      </w:r>
      <w:hyperlink r:id="rId158">
        <w:r>
          <w:rPr>
            <w:rStyle w:val="Hyperlink"/>
          </w:rPr>
          <w:t xml:space="preserve">AI governance vendor comparison, 2026</w:t>
        </w:r>
      </w:hyperlink>
    </w:p>
    <w:bookmarkEnd w:id="159"/>
    <w:bookmarkEnd w:id="160"/>
    <w:bookmarkStart w:id="172"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1"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1"/>
    <w:bookmarkStart w:id="162"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2"/>
    <w:bookmarkStart w:id="163"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3"/>
    <w:bookmarkStart w:id="164"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4"/>
    <w:bookmarkStart w:id="165"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65"/>
    <w:bookmarkStart w:id="166"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66"/>
    <w:bookmarkStart w:id="167"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67"/>
    <w:bookmarkStart w:id="168"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68"/>
    <w:bookmarkStart w:id="169"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69"/>
    <w:bookmarkStart w:id="170"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0"/>
    <w:bookmarkStart w:id="171"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1"/>
    <w:bookmarkEnd w:id="172"/>
    <w:bookmarkStart w:id="184"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3"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3"/>
    <w:bookmarkStart w:id="174"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74"/>
    <w:bookmarkStart w:id="175"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75"/>
    <w:bookmarkStart w:id="176"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76"/>
    <w:bookmarkStart w:id="177"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77"/>
    <w:bookmarkStart w:id="178"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78"/>
    <w:bookmarkStart w:id="179"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79"/>
    <w:bookmarkStart w:id="180"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0"/>
    <w:bookmarkStart w:id="181"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1"/>
    <w:bookmarkStart w:id="182"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2"/>
    <w:bookmarkStart w:id="183"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3"/>
    <w:bookmarkEnd w:id="184"/>
    <w:bookmarkStart w:id="188" w:name="appendices"/>
    <w:p>
      <w:pPr>
        <w:pStyle w:val="Heading2"/>
      </w:pPr>
      <w:r>
        <w:t xml:space="preserve">30. Appendices</w:t>
      </w:r>
    </w:p>
    <w:bookmarkStart w:id="185"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85"/>
    <w:bookmarkStart w:id="186"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86"/>
    <w:bookmarkStart w:id="187"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87"/>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2026-09-20T17:35:17Z</dcterms:created>
  <dcterms:modified xsi:type="dcterms:W3CDTF">2026-09-20T17:35:17Z</dcterms:modified>
</cp:coreProperties>
</file>

<file path=docProps/custom.xml><?xml version="1.0" encoding="utf-8"?>
<Properties xmlns="http://schemas.openxmlformats.org/officeDocument/2006/custom-properties" xmlns:vt="http://schemas.openxmlformats.org/officeDocument/2006/docPropsVTypes"/>
</file>