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2D2160"/>
          <w:sz w:val="48"/>
          <w:szCs w:val="48"/>
        </w:rPr>
        <w:t xml:space="preserve">Migration Prerequisites</w:t>
      </w:r>
    </w:p>
    <w:p>
      <w:pPr>
        <w:spacing w:after="200"/>
      </w:pPr>
      <w:r>
        <w:rPr>
          <w:color w:val="1F9D57"/>
          <w:sz w:val="28"/>
          <w:szCs w:val="28"/>
        </w:rPr>
        <w:t xml:space="preserve">PAS → Delinea Secret Server Cloud</w:t>
      </w:r>
    </w:p>
    <w:p>
      <w:pPr>
        <w:spacing w:after="240"/>
      </w:pPr>
      <w:r>
        <w:rPr>
          <w:color w:val="5B5478"/>
        </w:rPr>
        <w:t xml:space="preserve">Complete every item below before running the migration tool. These steps establish the API access and tenant configuration the tool relies on. Items marked Advanced are typically performed by a tenant administrator — hand those to your Delinea admin if needed.</w:t>
      </w:r>
    </w:p>
    <w:p>
      <w:pPr>
        <w:pStyle w:val="Heading1"/>
      </w:pPr>
      <w:r>
        <w:rPr>
          <w:color w:val="2D2160"/>
        </w:rPr>
        <w:t xml:space="preserve">Prerequisites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6D2E6" w:sz="1"/>
              <w:left w:val="single" w:color="D6D2E6" w:sz="1"/>
              <w:bottom w:val="single" w:color="D6D2E6" w:sz="1"/>
              <w:right w:val="single" w:color="D6D2E6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D2160"/>
                <w:sz w:val="32"/>
                <w:szCs w:val="3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6D2E6" w:sz="1"/>
              <w:left w:val="single" w:color="D6D2E6" w:sz="1"/>
              <w:bottom w:val="single" w:color="D6D2E6" w:sz="1"/>
              <w:right w:val="single" w:color="D6D2E6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Customer tenant is Unified (Platform-enabled)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5B5478"/>
              </w:rPr>
              <w:t xml:space="preserve">The PAS tenant must be migrated to the Delinea Platform identity model. Migration authenticates through the Platform, so a non-unified tenant cannot be used.</w:t>
            </w:r>
          </w:p>
        </w:tc>
      </w:tr>
      <w:tr>
        <w:tc>
          <w:tcPr>
            <w:tcW w:type="dxa" w:w="720"/>
            <w:tcBorders>
              <w:top w:val="single" w:color="D6D2E6" w:sz="1"/>
              <w:left w:val="single" w:color="D6D2E6" w:sz="1"/>
              <w:bottom w:val="single" w:color="D6D2E6" w:sz="1"/>
              <w:right w:val="single" w:color="D6D2E6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D2160"/>
                <w:sz w:val="32"/>
                <w:szCs w:val="3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6D2E6" w:sz="1"/>
              <w:left w:val="single" w:color="D6D2E6" w:sz="1"/>
              <w:bottom w:val="single" w:color="D6D2E6" w:sz="1"/>
              <w:right w:val="single" w:color="D6D2E6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API service account created in BOTH tenants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t xml:space="preserve">PAS: the service account must hold the </w:t>
            </w:r>
            <w:r>
              <w:rPr>
                <w:b/>
                <w:bCs/>
              </w:rPr>
              <w:t xml:space="preserve">System Administrator</w:t>
            </w:r>
            <w:r>
              <w:t xml:space="preserve">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t xml:space="preserve">Secret Server: the API account must hold the </w:t>
            </w:r>
            <w:r>
              <w:rPr>
                <w:b/>
                <w:bCs/>
              </w:rPr>
              <w:t xml:space="preserve">Secret Server Administrator</w:t>
            </w:r>
            <w:r>
              <w:t xml:space="preserve"> role.</w:t>
            </w:r>
          </w:p>
        </w:tc>
      </w:tr>
      <w:tr>
        <w:tc>
          <w:tcPr>
            <w:tcW w:type="dxa" w:w="720"/>
            <w:tcBorders>
              <w:top w:val="single" w:color="D6D2E6" w:sz="1"/>
              <w:left w:val="single" w:color="D6D2E6" w:sz="1"/>
              <w:bottom w:val="single" w:color="D6D2E6" w:sz="1"/>
              <w:right w:val="single" w:color="D6D2E6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D2160"/>
                <w:sz w:val="32"/>
                <w:szCs w:val="3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6D2E6" w:sz="1"/>
              <w:left w:val="single" w:color="D6D2E6" w:sz="1"/>
              <w:bottom w:val="single" w:color="D6D2E6" w:sz="1"/>
              <w:right w:val="single" w:color="D6D2E6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OAuth2 application created in PAS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5B5478"/>
              </w:rPr>
              <w:t xml:space="preserve">See “OAuth2 App Setup in PAS” below for the full procedure. Note the Application ID, Client Credentials grant, and scope — the tool needs all three.</w:t>
            </w:r>
          </w:p>
        </w:tc>
      </w:tr>
      <w:tr>
        <w:tc>
          <w:tcPr>
            <w:tcW w:type="dxa" w:w="720"/>
            <w:tcBorders>
              <w:top w:val="single" w:color="D6D2E6" w:sz="1"/>
              <w:left w:val="single" w:color="D6D2E6" w:sz="1"/>
              <w:bottom w:val="single" w:color="D6D2E6" w:sz="1"/>
              <w:right w:val="single" w:color="D6D2E6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D2160"/>
                <w:sz w:val="32"/>
                <w:szCs w:val="3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6D2E6" w:sz="1"/>
              <w:left w:val="single" w:color="D6D2E6" w:sz="1"/>
              <w:bottom w:val="single" w:color="D6D2E6" w:sz="1"/>
              <w:right w:val="single" w:color="D6D2E6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Unlimited Vault Access (UVA) mode enabled in Secret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5B5478"/>
              </w:rPr>
              <w:t xml:space="preserve">Required so the API account can read every secret for migration. See “Enable Unlimited Vault Access Mode” below.</w:t>
            </w:r>
          </w:p>
        </w:tc>
      </w:tr>
    </w:tbl>
    <w:p>
      <w:pPr>
        <w:pStyle w:val="Heading1"/>
      </w:pPr>
      <w:r>
        <w:rPr>
          <w:color w:val="2D2160"/>
        </w:rPr>
        <w:t xml:space="preserve">OAuth2 App Setup in PAS</w:t>
      </w:r>
    </w:p>
    <w:p>
      <w:pPr>
        <w:spacing w:after="120"/>
      </w:pPr>
      <w:r>
        <w:rPr>
          <w:color w:val="5B5478"/>
        </w:rPr>
        <w:t xml:space="preserve">Perform these steps in the PAS admin portal while signed in as a System Administrator.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in to your PAS tenant as a System Administrator.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Navigate to </w:t>
      </w:r>
      <w:r>
        <w:rPr>
          <w:b/>
          <w:bCs/>
        </w:rPr>
        <w:t xml:space="preserve">Apps → Add Web App → Web — Other</w:t>
      </w:r>
      <w:r>
        <w:t xml:space="preserve"> type.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</w:t>
      </w:r>
      <w:r>
        <w:rPr>
          <w:b/>
          <w:bCs/>
        </w:rPr>
        <w:t xml:space="preserve">Settings</w:t>
      </w:r>
      <w:r>
        <w:t xml:space="preserve"> tab, note the </w:t>
      </w:r>
      <w:r>
        <w:rPr>
          <w:b/>
          <w:bCs/>
        </w:rPr>
        <w:t xml:space="preserve">Application ID</w:t>
      </w:r>
      <w:r>
        <w:t xml:space="preserve"> — this becomes the tool’s </w:t>
      </w:r>
      <w:r>
        <w:rPr>
          <w:rFonts w:ascii="Consolas" w:cs="Consolas" w:eastAsia="Consolas" w:hAnsi="Consolas"/>
          <w:sz w:val="20"/>
          <w:szCs w:val="20"/>
        </w:rPr>
        <w:t xml:space="preserve">App ID</w:t>
      </w:r>
      <w:r>
        <w:t xml:space="preserve">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</w:t>
      </w:r>
      <w:r>
        <w:rPr>
          <w:b/>
          <w:bCs/>
        </w:rPr>
        <w:t xml:space="preserve">Tokens</w:t>
      </w:r>
      <w:r>
        <w:t xml:space="preserve"> tab, set the grant type to </w:t>
      </w:r>
      <w:r>
        <w:rPr>
          <w:b/>
          <w:bCs/>
        </w:rPr>
        <w:t xml:space="preserve">Client Credentials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</w:t>
      </w:r>
      <w:r>
        <w:rPr>
          <w:b/>
          <w:bCs/>
        </w:rPr>
        <w:t xml:space="preserve">Scope</w:t>
      </w:r>
      <w:r>
        <w:t xml:space="preserve"> tab, add a scope (for example, </w:t>
      </w:r>
      <w:r>
        <w:rPr>
          <w:rFonts w:ascii="Consolas" w:cs="Consolas" w:eastAsia="Consolas" w:hAnsi="Consolas"/>
          <w:sz w:val="20"/>
          <w:szCs w:val="20"/>
        </w:rPr>
        <w:t xml:space="preserve">all</w:t>
      </w:r>
      <w:r>
        <w:t xml:space="preserve"> with filter </w:t>
      </w:r>
      <w:r>
        <w:rPr>
          <w:rFonts w:ascii="Consolas" w:cs="Consolas" w:eastAsia="Consolas" w:hAnsi="Consolas"/>
          <w:sz w:val="20"/>
          <w:szCs w:val="20"/>
        </w:rPr>
        <w:t xml:space="preserve">.*</w:t>
      </w:r>
      <w:r>
        <w:t xml:space="preserve">) — this becomes the tool’s </w:t>
      </w:r>
      <w:r>
        <w:rPr>
          <w:rFonts w:ascii="Consolas" w:cs="Consolas" w:eastAsia="Consolas" w:hAnsi="Consolas"/>
          <w:sz w:val="20"/>
          <w:szCs w:val="20"/>
        </w:rPr>
        <w:t xml:space="preserve">Scope</w:t>
      </w:r>
      <w:r>
        <w:t xml:space="preserve">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</w:t>
      </w:r>
      <w:r>
        <w:rPr>
          <w:b/>
          <w:bCs/>
        </w:rPr>
        <w:t xml:space="preserve">Permissions</w:t>
      </w:r>
      <w:r>
        <w:t xml:space="preserve"> tab, grant the service account </w:t>
      </w:r>
      <w:r>
        <w:rPr>
          <w:b/>
          <w:bCs/>
        </w:rPr>
        <w:t xml:space="preserve">Run</w:t>
      </w:r>
      <w:r>
        <w:t xml:space="preserve"> and </w:t>
      </w:r>
      <w:r>
        <w:rPr>
          <w:b/>
          <w:bCs/>
        </w:rPr>
        <w:t xml:space="preserve">View</w:t>
      </w:r>
      <w:r>
        <w:t xml:space="preserve"> permissions on the application.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application shows the </w:t>
      </w:r>
      <w:r>
        <w:rPr>
          <w:b/>
          <w:bCs/>
        </w:rPr>
        <w:t xml:space="preserve">Deployed</w:t>
      </w:r>
      <w:r>
        <w:t xml:space="preserve"> status.</w:t>
      </w:r>
    </w:p>
    <w:p>
      <w:pPr>
        <w:pStyle w:val="Heading1"/>
      </w:pPr>
      <w:r>
        <w:rPr>
          <w:color w:val="2D2160"/>
        </w:rPr>
        <w:t xml:space="preserve">Service Account Roles</w:t>
      </w:r>
    </w:p>
    <w:p>
      <w:pPr>
        <w:pStyle w:val="Heading2"/>
      </w:pPr>
      <w:r>
        <w:rPr>
          <w:color w:val="2D2160"/>
        </w:rPr>
        <w:t xml:space="preserve">PAS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Client ID used to authenticate must be a member of the </w:t>
      </w:r>
      <w:r>
        <w:rPr>
          <w:b/>
          <w:bCs/>
        </w:rPr>
        <w:t xml:space="preserve">System Administrator (sysadmin)</w:t>
      </w:r>
      <w:r>
        <w:t xml:space="preserve">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it under </w:t>
      </w:r>
      <w:r>
        <w:rPr>
          <w:b/>
          <w:bCs/>
        </w:rPr>
        <w:t xml:space="preserve">Roles → sysadmin → Members</w:t>
      </w:r>
      <w:r>
        <w:t xml:space="preserve"> in the PAS admin portal.</w:t>
      </w:r>
    </w:p>
    <w:p>
      <w:pPr>
        <w:pStyle w:val="Heading2"/>
      </w:pPr>
      <w:r>
        <w:rPr>
          <w:color w:val="2D2160"/>
        </w:rPr>
        <w:t xml:space="preserve">Secret Server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API account must hold the </w:t>
      </w:r>
      <w:r>
        <w:rPr>
          <w:b/>
          <w:bCs/>
        </w:rPr>
        <w:t xml:space="preserve">Secret Server Administrator</w:t>
      </w:r>
      <w:r>
        <w:t xml:space="preserve"> role so it can create folders, templates, and secrets during migration.</w:t>
      </w:r>
    </w:p>
    <w:p>
      <w:pPr>
        <w:pStyle w:val="Heading1"/>
      </w:pPr>
      <w:r>
        <w:rPr>
          <w:color w:val="2D2160"/>
        </w:rPr>
        <w:t xml:space="preserve">Enable Unlimited Vault Access Mode</w:t>
      </w:r>
    </w:p>
    <w:p>
      <w:pPr>
        <w:spacing w:after="120"/>
      </w:pPr>
      <w:r>
        <w:rPr>
          <w:color w:val="5B5478"/>
        </w:rPr>
        <w:t xml:space="preserve">Unlimited Vault Access (UVA) mode lets the API account read every secret in the vault, which the migration requires to copy secrets the account does not individually 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the official Delinea instructions: </w:t>
      </w:r>
      <w:hyperlink w:history="1" r:id="rId12-cibvbzrmgc-ebzcf4r">
        <w:r>
          <w:rPr>
            <w:rStyle w:val="Hyperlink"/>
            <w:color w:val="1A5FB4"/>
            <w:u w:val="single"/>
          </w:rPr>
          <w:t xml:space="preserve">Unlimited Vault Access Mode — Delinea docs</w:t>
        </w:r>
      </w:hyperlink>
    </w:p>
    <w:p>
      <w:pPr>
        <w:spacing w:after="120" w:before="80"/>
      </w:pPr>
      <w:r>
        <w:rPr>
          <w:b/>
          <w:bCs/>
          <w:color w:val="2D2160"/>
        </w:rPr>
        <w:t xml:space="preserve">Note: </w:t>
      </w:r>
      <w:r>
        <w:rPr>
          <w:color w:val="5B5478"/>
        </w:rPr>
        <w:t xml:space="preserve">UVA is a powerful access mode. Enable it for the migration window and review your organization’s policy on when to disable it afterward.</w:t>
      </w:r>
    </w:p>
    <w:sectPr>
      <w:headerReference w:type="default" r:id="rId7"/>
      <w:footerReference w:type="default" r:id="rId8"/>
      <w:pgSz w:w="12240" w:h="15840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478"/>
        <w:sz w:val="18"/>
        <w:szCs w:val="18"/>
      </w:rPr>
      <w:t xml:space="preserve">Page </w:t>
    </w:r>
    <w:r>
      <w:rPr>
        <w:color w:val="5B547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5478"/>
        <w:sz w:val="18"/>
        <w:szCs w:val="18"/>
      </w:rPr>
      <w:t xml:space="preserve"> of </w:t>
    </w:r>
    <w:r>
      <w:rPr>
        <w:color w:val="5B547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9D57" w:sz="6" w:space="6"/>
      </w:pBdr>
    </w:pPr>
    <w:r>
      <w:rPr>
        <w:b/>
        <w:bCs/>
        <w:color w:val="1F9D57"/>
        <w:sz w:val="20"/>
        <w:szCs w:val="20"/>
      </w:rPr>
      <w:t xml:space="preserve">Delinea</w:t>
    </w:r>
    <w:r>
      <w:rPr>
        <w:color w:val="5B5478"/>
        <w:sz w:val="20"/>
        <w:szCs w:val="20"/>
      </w:rPr>
      <w:t xml:space="preserve">  |  PAS → Secret Server Migration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216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D216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2-cibvbzrmgc-ebzcf4r" Type="http://schemas.openxmlformats.org/officeDocument/2006/relationships/hyperlink" Target="https://docs.delinea.com/online-help/secret-server/admin/uva-mode/index.htm#UnlimitedVaultAcces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 to Secret Server Migration — Prerequisites Checklist</dc:title>
  <dc:creator>Delinea Professional Services</dc:creator>
  <cp:lastModifiedBy>Un-named</cp:lastModifiedBy>
  <cp:revision>1</cp:revision>
  <dcterms:created xsi:type="dcterms:W3CDTF">2026-06-20T02:25:03.153Z</dcterms:created>
  <dcterms:modified xsi:type="dcterms:W3CDTF">2026-06-20T02:25:03.153Z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