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D0F8A" w14:textId="2CBD3FE1" w:rsidR="00E31D8B" w:rsidRPr="00B34E91" w:rsidRDefault="00B34E91" w:rsidP="00A02F08">
      <w:pPr>
        <w:rPr>
          <w:b/>
          <w:bCs/>
          <w:i/>
          <w:iCs/>
        </w:rPr>
      </w:pPr>
      <w:r w:rsidRPr="00B34E91">
        <w:rPr>
          <w:b/>
          <w:bCs/>
          <w:i/>
          <w:iCs/>
        </w:rPr>
        <w:t>“β-diversity as defined by Whittaker (1960, 1972) is a measure of variation in species composition from place to place and is comprised of two processes (</w:t>
      </w:r>
      <w:proofErr w:type="spellStart"/>
      <w:r w:rsidRPr="00B34E91">
        <w:rPr>
          <w:b/>
          <w:bCs/>
          <w:i/>
          <w:iCs/>
        </w:rPr>
        <w:t>Baselga</w:t>
      </w:r>
      <w:proofErr w:type="spellEnd"/>
      <w:r w:rsidRPr="00B34E91">
        <w:rPr>
          <w:b/>
          <w:bCs/>
          <w:i/>
          <w:iCs/>
        </w:rPr>
        <w:t>, 2012): the replacement of species independently of the difference in species richness (called “turnover,” β</w:t>
      </w:r>
      <w:r w:rsidRPr="00B34E91">
        <w:rPr>
          <w:b/>
          <w:bCs/>
          <w:i/>
          <w:iCs/>
          <w:vertAlign w:val="subscript"/>
        </w:rPr>
        <w:t>sim</w:t>
      </w:r>
      <w:r w:rsidRPr="00B34E91">
        <w:rPr>
          <w:b/>
          <w:bCs/>
          <w:i/>
          <w:iCs/>
        </w:rPr>
        <w:t>) and a term that considers this difference in species richness called (“</w:t>
      </w:r>
      <w:proofErr w:type="spellStart"/>
      <w:r w:rsidRPr="00B34E91">
        <w:rPr>
          <w:b/>
          <w:bCs/>
          <w:i/>
          <w:iCs/>
        </w:rPr>
        <w:t>nestedness</w:t>
      </w:r>
      <w:proofErr w:type="spellEnd"/>
      <w:r w:rsidRPr="00B34E91">
        <w:rPr>
          <w:b/>
          <w:bCs/>
          <w:i/>
          <w:iCs/>
        </w:rPr>
        <w:t>-resultant,” β</w:t>
      </w:r>
      <w:proofErr w:type="spellStart"/>
      <w:r w:rsidRPr="00B34E91">
        <w:rPr>
          <w:b/>
          <w:bCs/>
          <w:i/>
          <w:iCs/>
          <w:vertAlign w:val="subscript"/>
        </w:rPr>
        <w:t>sne</w:t>
      </w:r>
      <w:proofErr w:type="spellEnd"/>
      <w:r w:rsidRPr="00B34E91">
        <w:rPr>
          <w:b/>
          <w:bCs/>
          <w:i/>
          <w:iCs/>
        </w:rPr>
        <w:t>). The relative contribution of these two processes is not immediately evident from species dissimilarities, and yet such considerations should be implicit in macroecological studies.” Please discuss what Smit et al. (2017) meant when they wrote that paragraph, and explain why this matters</w:t>
      </w:r>
      <w:r w:rsidR="00E31D8B" w:rsidRPr="00B34E91">
        <w:rPr>
          <w:b/>
          <w:bCs/>
          <w:i/>
          <w:iCs/>
        </w:rPr>
        <w:t>.</w:t>
      </w:r>
      <w:r w:rsidR="00E31D8B" w:rsidRPr="00B34E91">
        <w:rPr>
          <w:b/>
          <w:bCs/>
        </w:rPr>
        <w:t xml:space="preserve"> </w:t>
      </w:r>
      <w:r w:rsidR="00E31D8B" w:rsidRPr="00B34E91">
        <w:t>(10 marks)</w:t>
      </w:r>
    </w:p>
    <w:p w14:paraId="497896F2" w14:textId="413DDBB4" w:rsidR="00A02F08" w:rsidRDefault="00A02F08"/>
    <w:p w14:paraId="21FBB745" w14:textId="2EB6E06F" w:rsidR="00961EAF" w:rsidRDefault="00961EAF">
      <w:r w:rsidRPr="00B34E91">
        <w:rPr>
          <w:i/>
          <w:iCs/>
        </w:rPr>
        <w:t>β</w:t>
      </w:r>
      <w:r w:rsidRPr="00B34E91">
        <w:t xml:space="preserve">-diversity </w:t>
      </w:r>
      <w:r>
        <w:t xml:space="preserve">is a concept that describes how species assemblages (communities) measured within the </w:t>
      </w:r>
      <w:r w:rsidR="00A10182">
        <w:t>ecosystem</w:t>
      </w:r>
      <w:r>
        <w:t xml:space="preserve"> of interest varies from place to place, </w:t>
      </w:r>
      <w:r w:rsidRPr="00961EAF">
        <w:rPr>
          <w:i/>
          <w:iCs/>
        </w:rPr>
        <w:t>e.g.</w:t>
      </w:r>
      <w:r>
        <w:t xml:space="preserve"> between the various transects or quadrats used to sample the </w:t>
      </w:r>
      <w:r w:rsidR="00A10182">
        <w:t>ecosystem</w:t>
      </w:r>
      <w:r>
        <w:t xml:space="preserve">. </w:t>
      </w:r>
      <w:r w:rsidRPr="00B34E91">
        <w:rPr>
          <w:i/>
          <w:iCs/>
        </w:rPr>
        <w:t>β</w:t>
      </w:r>
      <w:r w:rsidRPr="00B34E91">
        <w:t xml:space="preserve">-diversity </w:t>
      </w:r>
      <w:r>
        <w:t xml:space="preserve">results from habitat heterogeneity (along gradients, or randomly). </w:t>
      </w:r>
    </w:p>
    <w:p w14:paraId="70EFC6A9" w14:textId="77777777" w:rsidR="00961EAF" w:rsidRDefault="00961EAF"/>
    <w:p w14:paraId="493228E4" w14:textId="48B2A289" w:rsidR="004C6CB7" w:rsidRDefault="00961EAF">
      <w:r>
        <w:t xml:space="preserve">There are two way in which </w:t>
      </w:r>
      <w:r w:rsidRPr="00B34E91">
        <w:rPr>
          <w:i/>
          <w:iCs/>
        </w:rPr>
        <w:t>β</w:t>
      </w:r>
      <w:r w:rsidRPr="00B34E91">
        <w:t xml:space="preserve">-diversity </w:t>
      </w:r>
      <w:r>
        <w:t>might be affected</w:t>
      </w:r>
      <w:r w:rsidR="004C6CB7">
        <w:t>:</w:t>
      </w:r>
    </w:p>
    <w:p w14:paraId="4F2C3D3D" w14:textId="77777777" w:rsidR="004C6CB7" w:rsidRDefault="004C6CB7"/>
    <w:p w14:paraId="3AD161D7" w14:textId="79C54FB9" w:rsidR="004C6CB7" w:rsidRDefault="004C6CB7">
      <w:r w:rsidRPr="004C6CB7">
        <w:rPr>
          <w:b/>
          <w:bCs/>
        </w:rPr>
        <w:t>Process 1.</w:t>
      </w:r>
      <w:r>
        <w:t xml:space="preserve"> I</w:t>
      </w:r>
      <w:r w:rsidR="00961EAF">
        <w:t xml:space="preserve">f a region is comprised of </w:t>
      </w:r>
      <w:r w:rsidR="00EF4FA7">
        <w:t xml:space="preserve">the </w:t>
      </w:r>
      <w:r w:rsidR="00961EAF">
        <w:t>species</w:t>
      </w:r>
      <w:r w:rsidR="00EF4FA7">
        <w:t xml:space="preserve"> A, B, C, …, M</w:t>
      </w:r>
      <w:r w:rsidR="00961EAF">
        <w:t xml:space="preserve"> (</w:t>
      </w:r>
      <w:r w:rsidR="00961EAF" w:rsidRPr="00961EAF">
        <w:rPr>
          <w:i/>
          <w:iCs/>
        </w:rPr>
        <w:t>i.e.</w:t>
      </w:r>
      <w:r w:rsidR="00961EAF">
        <w:t xml:space="preserve"> </w:t>
      </w:r>
      <w:r w:rsidR="00961EAF" w:rsidRPr="00961EAF">
        <w:rPr>
          <w:i/>
          <w:iCs/>
        </w:rPr>
        <w:t>γ</w:t>
      </w:r>
      <w:r w:rsidR="00961EAF">
        <w:t>-diversity</w:t>
      </w:r>
      <w:r w:rsidR="00EF4FA7">
        <w:t xml:space="preserve"> is 13</w:t>
      </w:r>
      <w:r w:rsidR="00961EAF">
        <w:t xml:space="preserve">), a subset of the regional flora as captured by one quadrat might be species </w:t>
      </w:r>
      <w:r w:rsidR="00961EAF" w:rsidRPr="004C6CB7">
        <w:rPr>
          <w:b/>
          <w:bCs/>
          <w:u w:val="single"/>
        </w:rPr>
        <w:t>A</w:t>
      </w:r>
      <w:r w:rsidR="00961EAF">
        <w:t xml:space="preserve">, </w:t>
      </w:r>
      <w:r w:rsidR="00961EAF" w:rsidRPr="004C6CB7">
        <w:rPr>
          <w:b/>
          <w:bCs/>
          <w:u w:val="single"/>
        </w:rPr>
        <w:t>D</w:t>
      </w:r>
      <w:r w:rsidR="00961EAF">
        <w:t xml:space="preserve">, </w:t>
      </w:r>
      <w:r w:rsidR="00961EAF" w:rsidRPr="004C6CB7">
        <w:t>E</w:t>
      </w:r>
      <w:r w:rsidR="00961EAF">
        <w:t xml:space="preserve">, whereas </w:t>
      </w:r>
      <w:r w:rsidR="00A10182">
        <w:t xml:space="preserve">in </w:t>
      </w:r>
      <w:r w:rsidR="00961EAF">
        <w:t xml:space="preserve">another </w:t>
      </w:r>
      <w:r w:rsidR="00A10182">
        <w:t xml:space="preserve">quadrat it </w:t>
      </w:r>
      <w:r w:rsidR="00961EAF">
        <w:t xml:space="preserve">might be species </w:t>
      </w:r>
      <w:r w:rsidR="00961EAF" w:rsidRPr="004C6CB7">
        <w:rPr>
          <w:b/>
          <w:bCs/>
          <w:u w:val="single"/>
        </w:rPr>
        <w:t>A</w:t>
      </w:r>
      <w:r w:rsidR="00961EAF">
        <w:t xml:space="preserve">, </w:t>
      </w:r>
      <w:r w:rsidR="00961EAF" w:rsidRPr="004C6CB7">
        <w:rPr>
          <w:b/>
          <w:bCs/>
          <w:u w:val="single"/>
        </w:rPr>
        <w:t>D</w:t>
      </w:r>
      <w:r w:rsidR="00961EAF">
        <w:t xml:space="preserve">, </w:t>
      </w:r>
      <w:r w:rsidR="00961EAF" w:rsidRPr="004C6CB7">
        <w:t>F</w:t>
      </w:r>
      <w:r w:rsidR="00961EAF">
        <w:t xml:space="preserve">. In this instance, the </w:t>
      </w:r>
      <w:r w:rsidR="00961EAF">
        <w:rPr>
          <w:i/>
          <w:iCs/>
        </w:rPr>
        <w:t>α</w:t>
      </w:r>
      <w:r w:rsidR="00961EAF" w:rsidRPr="00B34E91">
        <w:t>-diversity</w:t>
      </w:r>
      <w:r w:rsidR="00961EAF">
        <w:t xml:space="preserve"> is 3 in both instances, and heterogeneity (and hence </w:t>
      </w:r>
      <w:r w:rsidR="00961EAF" w:rsidRPr="00B34E91">
        <w:rPr>
          <w:i/>
          <w:iCs/>
        </w:rPr>
        <w:t>β</w:t>
      </w:r>
      <w:r w:rsidR="00961EAF" w:rsidRPr="00B34E91">
        <w:t>-diversity</w:t>
      </w:r>
      <w:r w:rsidR="00961EAF">
        <w:t>) results from the fact that the first quadrat has species E but the other has species F.</w:t>
      </w:r>
      <w:r>
        <w:t xml:space="preserve"> In other words, here we have the same number of species in both quadrats, but only two of the species are the same.</w:t>
      </w:r>
    </w:p>
    <w:p w14:paraId="4AFC03E6" w14:textId="77777777" w:rsidR="004C6CB7" w:rsidRDefault="004C6CB7"/>
    <w:p w14:paraId="37EC88C7" w14:textId="0A16F1BB" w:rsidR="004C6CB7" w:rsidRDefault="00EF4FA7">
      <w:r w:rsidRPr="00EF4FA7">
        <w:rPr>
          <w:b/>
          <w:bCs/>
        </w:rPr>
        <w:t>Process 2.</w:t>
      </w:r>
      <w:r w:rsidR="004C6CB7">
        <w:t xml:space="preserve"> </w:t>
      </w:r>
      <w:r>
        <w:t>C</w:t>
      </w:r>
      <w:r w:rsidR="004C6CB7">
        <w:t xml:space="preserve">onsider again species A, B, C, …, M. Now, we have the first quadrat with species </w:t>
      </w:r>
      <w:r w:rsidR="004C6CB7" w:rsidRPr="004C6CB7">
        <w:rPr>
          <w:b/>
          <w:bCs/>
          <w:u w:val="single"/>
        </w:rPr>
        <w:t>A</w:t>
      </w:r>
      <w:r w:rsidR="004C6CB7">
        <w:t xml:space="preserve">, </w:t>
      </w:r>
      <w:r w:rsidR="004C6CB7" w:rsidRPr="004C6CB7">
        <w:rPr>
          <w:b/>
          <w:bCs/>
          <w:u w:val="single"/>
        </w:rPr>
        <w:t>B</w:t>
      </w:r>
      <w:r w:rsidR="004C6CB7">
        <w:t xml:space="preserve">, C, D, </w:t>
      </w:r>
      <w:r w:rsidR="004C6CB7" w:rsidRPr="004C6CB7">
        <w:rPr>
          <w:b/>
          <w:bCs/>
          <w:u w:val="single"/>
        </w:rPr>
        <w:t>G</w:t>
      </w:r>
      <w:r w:rsidR="004C6CB7">
        <w:t>, H (</w:t>
      </w:r>
      <w:r w:rsidR="004C6CB7">
        <w:rPr>
          <w:i/>
          <w:iCs/>
        </w:rPr>
        <w:t>α</w:t>
      </w:r>
      <w:r w:rsidR="004C6CB7" w:rsidRPr="00B34E91">
        <w:t>-diversity</w:t>
      </w:r>
      <w:r w:rsidR="004C6CB7">
        <w:t xml:space="preserve"> is 6) and the second quadrat has a subset of this, </w:t>
      </w:r>
      <w:r w:rsidR="004C6CB7" w:rsidRPr="004C6CB7">
        <w:rPr>
          <w:i/>
          <w:iCs/>
        </w:rPr>
        <w:t>e.g.</w:t>
      </w:r>
      <w:r w:rsidR="004C6CB7">
        <w:t xml:space="preserve"> only species </w:t>
      </w:r>
      <w:r w:rsidR="004C6CB7" w:rsidRPr="004C6CB7">
        <w:rPr>
          <w:b/>
          <w:bCs/>
          <w:u w:val="single"/>
        </w:rPr>
        <w:t>A</w:t>
      </w:r>
      <w:r w:rsidR="004C6CB7">
        <w:t xml:space="preserve">, </w:t>
      </w:r>
      <w:r w:rsidR="004C6CB7" w:rsidRPr="004C6CB7">
        <w:rPr>
          <w:b/>
          <w:bCs/>
          <w:u w:val="single"/>
        </w:rPr>
        <w:t>B</w:t>
      </w:r>
      <w:r w:rsidR="004C6CB7">
        <w:t xml:space="preserve">, </w:t>
      </w:r>
      <w:r w:rsidR="004C6CB7" w:rsidRPr="004C6CB7">
        <w:rPr>
          <w:b/>
          <w:bCs/>
          <w:u w:val="single"/>
        </w:rPr>
        <w:t>G</w:t>
      </w:r>
      <w:r w:rsidR="004C6CB7">
        <w:t xml:space="preserve"> (</w:t>
      </w:r>
      <w:r w:rsidR="004C6CB7">
        <w:rPr>
          <w:i/>
          <w:iCs/>
        </w:rPr>
        <w:t>α</w:t>
      </w:r>
      <w:r w:rsidR="004C6CB7" w:rsidRPr="00B34E91">
        <w:t>-diversity</w:t>
      </w:r>
      <w:r w:rsidR="004C6CB7">
        <w:t xml:space="preserve"> 3).</w:t>
      </w:r>
      <w:r>
        <w:t xml:space="preserve"> Here, </w:t>
      </w:r>
      <w:r w:rsidRPr="00B34E91">
        <w:rPr>
          <w:i/>
          <w:iCs/>
        </w:rPr>
        <w:t>β</w:t>
      </w:r>
      <w:r w:rsidRPr="00B34E91">
        <w:t>-diversity</w:t>
      </w:r>
      <w:r>
        <w:t xml:space="preserve"> comes from the fact that even if the two places share the same species, the number of species can still differ amongst the quadrats (</w:t>
      </w:r>
      <w:r w:rsidRPr="00EF4FA7">
        <w:rPr>
          <w:i/>
          <w:iCs/>
        </w:rPr>
        <w:t>i.e.</w:t>
      </w:r>
      <w:r>
        <w:t xml:space="preserve"> from place to place) due to one quadrat capturing only a subset of species present in the other.</w:t>
      </w:r>
    </w:p>
    <w:p w14:paraId="4FD7726B" w14:textId="77777777" w:rsidR="004C6CB7" w:rsidRDefault="004C6CB7"/>
    <w:p w14:paraId="0148F301" w14:textId="30D2A93D" w:rsidR="00B34E91" w:rsidRDefault="004C6CB7">
      <w:r>
        <w:t xml:space="preserve">The above two examples show that </w:t>
      </w:r>
      <w:r w:rsidRPr="00B34E91">
        <w:rPr>
          <w:i/>
          <w:iCs/>
        </w:rPr>
        <w:t>β</w:t>
      </w:r>
      <w:r w:rsidRPr="00B34E91">
        <w:t xml:space="preserve">-diversity </w:t>
      </w:r>
      <w:r>
        <w:t xml:space="preserve">is coupled not only with the identity of the species in the quadrats, but also </w:t>
      </w:r>
      <w:r>
        <w:rPr>
          <w:i/>
          <w:iCs/>
        </w:rPr>
        <w:t>α</w:t>
      </w:r>
      <w:r w:rsidRPr="00B34E91">
        <w:t>-diversity</w:t>
      </w:r>
      <w:r>
        <w:t>.</w:t>
      </w:r>
    </w:p>
    <w:p w14:paraId="7EF402BE" w14:textId="721A282C" w:rsidR="004C6CB7" w:rsidRDefault="004C6CB7"/>
    <w:p w14:paraId="16B94C11" w14:textId="7EE90AA8" w:rsidR="00B34E91" w:rsidRPr="00B34E91" w:rsidRDefault="004C6CB7" w:rsidP="00B34E91">
      <w:r>
        <w:t xml:space="preserve">We express </w:t>
      </w:r>
      <w:r w:rsidR="00B34E91" w:rsidRPr="00B34E91">
        <w:rPr>
          <w:i/>
          <w:iCs/>
        </w:rPr>
        <w:t>β</w:t>
      </w:r>
      <w:r w:rsidR="00B34E91" w:rsidRPr="00B34E91">
        <w:t xml:space="preserve">-diversity </w:t>
      </w:r>
      <w:r>
        <w:t>as ‘</w:t>
      </w:r>
      <w:proofErr w:type="spellStart"/>
      <w:r w:rsidRPr="00B34E91">
        <w:t>nestedness</w:t>
      </w:r>
      <w:proofErr w:type="spellEnd"/>
      <w:r w:rsidRPr="00B34E91">
        <w:t>-resultant</w:t>
      </w:r>
      <w:r>
        <w:t>’</w:t>
      </w:r>
      <w:r w:rsidRPr="00B34E91">
        <w:t xml:space="preserve"> </w:t>
      </w:r>
      <w:r>
        <w:t>(</w:t>
      </w:r>
      <w:r w:rsidRPr="00B34E91">
        <w:rPr>
          <w:i/>
          <w:iCs/>
        </w:rPr>
        <w:t>β</w:t>
      </w:r>
      <w:proofErr w:type="spellStart"/>
      <w:r w:rsidRPr="00B34E91">
        <w:rPr>
          <w:i/>
          <w:iCs/>
          <w:vertAlign w:val="subscript"/>
        </w:rPr>
        <w:t>sne</w:t>
      </w:r>
      <w:proofErr w:type="spellEnd"/>
      <w:r>
        <w:t xml:space="preserve">) </w:t>
      </w:r>
      <w:r w:rsidRPr="00B34E91">
        <w:t xml:space="preserve">and </w:t>
      </w:r>
      <w:r>
        <w:t>‘</w:t>
      </w:r>
      <w:r w:rsidRPr="00B34E91">
        <w:t>turnover</w:t>
      </w:r>
      <w:r>
        <w:t>’</w:t>
      </w:r>
      <w:r w:rsidRPr="00B34E91">
        <w:t xml:space="preserve"> </w:t>
      </w:r>
      <w:r>
        <w:t>(</w:t>
      </w:r>
      <w:r w:rsidRPr="00B34E91">
        <w:rPr>
          <w:i/>
          <w:iCs/>
        </w:rPr>
        <w:t>β</w:t>
      </w:r>
      <w:r w:rsidRPr="00B34E91">
        <w:rPr>
          <w:i/>
          <w:iCs/>
          <w:vertAlign w:val="subscript"/>
        </w:rPr>
        <w:t>sim</w:t>
      </w:r>
      <w:r>
        <w:t>)</w:t>
      </w:r>
      <w:r w:rsidRPr="00B34E91">
        <w:t xml:space="preserve"> components</w:t>
      </w:r>
      <w:r>
        <w:t xml:space="preserve"> so as to be able to distinguish between these two processes. </w:t>
      </w:r>
      <w:r w:rsidR="00EF4FA7">
        <w:t>I</w:t>
      </w:r>
      <w:r w:rsidR="00B34E91" w:rsidRPr="00B34E91">
        <w:t>t allow</w:t>
      </w:r>
      <w:r w:rsidR="00EF4FA7">
        <w:t>s</w:t>
      </w:r>
      <w:r w:rsidR="00B34E91" w:rsidRPr="00B34E91">
        <w:t xml:space="preserve"> us to make inferences about the </w:t>
      </w:r>
      <w:r w:rsidR="00EF4FA7">
        <w:t xml:space="preserve">two </w:t>
      </w:r>
      <w:r w:rsidR="00B34E91" w:rsidRPr="00B34E91">
        <w:t xml:space="preserve">possible drivers of </w:t>
      </w:r>
      <w:r w:rsidR="00B34E91" w:rsidRPr="00B34E91">
        <w:rPr>
          <w:i/>
          <w:iCs/>
        </w:rPr>
        <w:t>β</w:t>
      </w:r>
      <w:r w:rsidR="00B34E91" w:rsidRPr="00B34E91">
        <w:t xml:space="preserve">-diversity. Turnover refers to processes that cause communities to differ due to species being lost and/or gained from section to section, </w:t>
      </w:r>
      <w:r w:rsidR="00B34E91" w:rsidRPr="00B34E91">
        <w:rPr>
          <w:i/>
          <w:iCs/>
        </w:rPr>
        <w:t>i.e.</w:t>
      </w:r>
      <w:r w:rsidR="00B34E91" w:rsidRPr="00B34E91">
        <w:t xml:space="preserve"> the species composition changes between sections without corresponding changes in </w:t>
      </w:r>
      <w:r w:rsidR="00B34E91">
        <w:rPr>
          <w:i/>
          <w:iCs/>
        </w:rPr>
        <w:t>α</w:t>
      </w:r>
      <w:r w:rsidR="00B34E91" w:rsidRPr="00B34E91">
        <w:t xml:space="preserve">-diversity. The nestedness-resultant component implies processes that cause species to be gained or lost, and the community with the lowest </w:t>
      </w:r>
      <w:r w:rsidR="00B34E91">
        <w:rPr>
          <w:i/>
          <w:iCs/>
        </w:rPr>
        <w:t>α</w:t>
      </w:r>
      <w:r w:rsidR="00B34E91" w:rsidRPr="00B34E91">
        <w:t>-diversity is a subset of the richer community.</w:t>
      </w:r>
    </w:p>
    <w:p w14:paraId="27C9C038" w14:textId="77777777" w:rsidR="00B34E91" w:rsidRDefault="00B34E91"/>
    <w:sectPr w:rsidR="00B34E91" w:rsidSect="00D73F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03F17"/>
    <w:multiLevelType w:val="multilevel"/>
    <w:tmpl w:val="420E8632"/>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08"/>
    <w:rsid w:val="0046792D"/>
    <w:rsid w:val="004C6CB7"/>
    <w:rsid w:val="00915FE6"/>
    <w:rsid w:val="00961EAF"/>
    <w:rsid w:val="00A02F08"/>
    <w:rsid w:val="00A10182"/>
    <w:rsid w:val="00B34E91"/>
    <w:rsid w:val="00D73FDF"/>
    <w:rsid w:val="00E01C88"/>
    <w:rsid w:val="00E31D8B"/>
    <w:rsid w:val="00EF4FA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57EDB02"/>
  <w15:chartTrackingRefBased/>
  <w15:docId w15:val="{73B25272-390C-7242-9182-AEAD91CA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F08"/>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4E91"/>
    <w:rPr>
      <w:color w:val="0563C1" w:themeColor="hyperlink"/>
      <w:u w:val="single"/>
    </w:rPr>
  </w:style>
  <w:style w:type="character" w:styleId="UnresolvedMention">
    <w:name w:val="Unresolved Mention"/>
    <w:basedOn w:val="DefaultParagraphFont"/>
    <w:uiPriority w:val="99"/>
    <w:semiHidden/>
    <w:unhideWhenUsed/>
    <w:rsid w:val="00B34E91"/>
    <w:rPr>
      <w:color w:val="605E5C"/>
      <w:shd w:val="clear" w:color="auto" w:fill="E1DFDD"/>
    </w:rPr>
  </w:style>
  <w:style w:type="paragraph" w:styleId="NormalWeb">
    <w:name w:val="Normal (Web)"/>
    <w:basedOn w:val="Normal"/>
    <w:uiPriority w:val="99"/>
    <w:semiHidden/>
    <w:unhideWhenUsed/>
    <w:rsid w:val="00B34E91"/>
    <w:rPr>
      <w:rFonts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839393">
      <w:bodyDiv w:val="1"/>
      <w:marLeft w:val="0"/>
      <w:marRight w:val="0"/>
      <w:marTop w:val="0"/>
      <w:marBottom w:val="0"/>
      <w:divBdr>
        <w:top w:val="none" w:sz="0" w:space="0" w:color="auto"/>
        <w:left w:val="none" w:sz="0" w:space="0" w:color="auto"/>
        <w:bottom w:val="none" w:sz="0" w:space="0" w:color="auto"/>
        <w:right w:val="none" w:sz="0" w:space="0" w:color="auto"/>
      </w:divBdr>
    </w:div>
    <w:div w:id="349525500">
      <w:bodyDiv w:val="1"/>
      <w:marLeft w:val="0"/>
      <w:marRight w:val="0"/>
      <w:marTop w:val="0"/>
      <w:marBottom w:val="0"/>
      <w:divBdr>
        <w:top w:val="none" w:sz="0" w:space="0" w:color="auto"/>
        <w:left w:val="none" w:sz="0" w:space="0" w:color="auto"/>
        <w:bottom w:val="none" w:sz="0" w:space="0" w:color="auto"/>
        <w:right w:val="none" w:sz="0" w:space="0" w:color="auto"/>
      </w:divBdr>
      <w:divsChild>
        <w:div w:id="1298947429">
          <w:marLeft w:val="0"/>
          <w:marRight w:val="0"/>
          <w:marTop w:val="0"/>
          <w:marBottom w:val="0"/>
          <w:divBdr>
            <w:top w:val="none" w:sz="0" w:space="0" w:color="auto"/>
            <w:left w:val="none" w:sz="0" w:space="0" w:color="auto"/>
            <w:bottom w:val="none" w:sz="0" w:space="0" w:color="auto"/>
            <w:right w:val="none" w:sz="0" w:space="0" w:color="auto"/>
          </w:divBdr>
          <w:divsChild>
            <w:div w:id="14718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49018">
      <w:bodyDiv w:val="1"/>
      <w:marLeft w:val="0"/>
      <w:marRight w:val="0"/>
      <w:marTop w:val="0"/>
      <w:marBottom w:val="0"/>
      <w:divBdr>
        <w:top w:val="none" w:sz="0" w:space="0" w:color="auto"/>
        <w:left w:val="none" w:sz="0" w:space="0" w:color="auto"/>
        <w:bottom w:val="none" w:sz="0" w:space="0" w:color="auto"/>
        <w:right w:val="none" w:sz="0" w:space="0" w:color="auto"/>
      </w:divBdr>
      <w:divsChild>
        <w:div w:id="443230889">
          <w:marLeft w:val="0"/>
          <w:marRight w:val="0"/>
          <w:marTop w:val="0"/>
          <w:marBottom w:val="0"/>
          <w:divBdr>
            <w:top w:val="none" w:sz="0" w:space="0" w:color="auto"/>
            <w:left w:val="none" w:sz="0" w:space="0" w:color="auto"/>
            <w:bottom w:val="none" w:sz="0" w:space="0" w:color="auto"/>
            <w:right w:val="none" w:sz="0" w:space="0" w:color="auto"/>
          </w:divBdr>
          <w:divsChild>
            <w:div w:id="148072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2725">
      <w:bodyDiv w:val="1"/>
      <w:marLeft w:val="0"/>
      <w:marRight w:val="0"/>
      <w:marTop w:val="0"/>
      <w:marBottom w:val="0"/>
      <w:divBdr>
        <w:top w:val="none" w:sz="0" w:space="0" w:color="auto"/>
        <w:left w:val="none" w:sz="0" w:space="0" w:color="auto"/>
        <w:bottom w:val="none" w:sz="0" w:space="0" w:color="auto"/>
        <w:right w:val="none" w:sz="0" w:space="0" w:color="auto"/>
      </w:divBdr>
    </w:div>
    <w:div w:id="1354770830">
      <w:bodyDiv w:val="1"/>
      <w:marLeft w:val="0"/>
      <w:marRight w:val="0"/>
      <w:marTop w:val="0"/>
      <w:marBottom w:val="0"/>
      <w:divBdr>
        <w:top w:val="none" w:sz="0" w:space="0" w:color="auto"/>
        <w:left w:val="none" w:sz="0" w:space="0" w:color="auto"/>
        <w:bottom w:val="none" w:sz="0" w:space="0" w:color="auto"/>
        <w:right w:val="none" w:sz="0" w:space="0" w:color="auto"/>
      </w:divBdr>
      <w:divsChild>
        <w:div w:id="1752582281">
          <w:marLeft w:val="0"/>
          <w:marRight w:val="0"/>
          <w:marTop w:val="0"/>
          <w:marBottom w:val="0"/>
          <w:divBdr>
            <w:top w:val="none" w:sz="0" w:space="0" w:color="auto"/>
            <w:left w:val="none" w:sz="0" w:space="0" w:color="auto"/>
            <w:bottom w:val="none" w:sz="0" w:space="0" w:color="auto"/>
            <w:right w:val="none" w:sz="0" w:space="0" w:color="auto"/>
          </w:divBdr>
          <w:divsChild>
            <w:div w:id="1240288110">
              <w:marLeft w:val="0"/>
              <w:marRight w:val="0"/>
              <w:marTop w:val="0"/>
              <w:marBottom w:val="0"/>
              <w:divBdr>
                <w:top w:val="none" w:sz="0" w:space="0" w:color="auto"/>
                <w:left w:val="none" w:sz="0" w:space="0" w:color="auto"/>
                <w:bottom w:val="none" w:sz="0" w:space="0" w:color="auto"/>
                <w:right w:val="none" w:sz="0" w:space="0" w:color="auto"/>
              </w:divBdr>
              <w:divsChild>
                <w:div w:id="172629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5336">
      <w:bodyDiv w:val="1"/>
      <w:marLeft w:val="0"/>
      <w:marRight w:val="0"/>
      <w:marTop w:val="0"/>
      <w:marBottom w:val="0"/>
      <w:divBdr>
        <w:top w:val="none" w:sz="0" w:space="0" w:color="auto"/>
        <w:left w:val="none" w:sz="0" w:space="0" w:color="auto"/>
        <w:bottom w:val="none" w:sz="0" w:space="0" w:color="auto"/>
        <w:right w:val="none" w:sz="0" w:space="0" w:color="auto"/>
      </w:divBdr>
    </w:div>
    <w:div w:id="1655992194">
      <w:bodyDiv w:val="1"/>
      <w:marLeft w:val="0"/>
      <w:marRight w:val="0"/>
      <w:marTop w:val="0"/>
      <w:marBottom w:val="0"/>
      <w:divBdr>
        <w:top w:val="none" w:sz="0" w:space="0" w:color="auto"/>
        <w:left w:val="none" w:sz="0" w:space="0" w:color="auto"/>
        <w:bottom w:val="none" w:sz="0" w:space="0" w:color="auto"/>
        <w:right w:val="none" w:sz="0" w:space="0" w:color="auto"/>
      </w:divBdr>
      <w:divsChild>
        <w:div w:id="1197280466">
          <w:marLeft w:val="0"/>
          <w:marRight w:val="0"/>
          <w:marTop w:val="0"/>
          <w:marBottom w:val="0"/>
          <w:divBdr>
            <w:top w:val="none" w:sz="0" w:space="0" w:color="auto"/>
            <w:left w:val="none" w:sz="0" w:space="0" w:color="auto"/>
            <w:bottom w:val="none" w:sz="0" w:space="0" w:color="auto"/>
            <w:right w:val="none" w:sz="0" w:space="0" w:color="auto"/>
          </w:divBdr>
          <w:divsChild>
            <w:div w:id="1599756967">
              <w:marLeft w:val="0"/>
              <w:marRight w:val="0"/>
              <w:marTop w:val="0"/>
              <w:marBottom w:val="0"/>
              <w:divBdr>
                <w:top w:val="none" w:sz="0" w:space="0" w:color="auto"/>
                <w:left w:val="none" w:sz="0" w:space="0" w:color="auto"/>
                <w:bottom w:val="none" w:sz="0" w:space="0" w:color="auto"/>
                <w:right w:val="none" w:sz="0" w:space="0" w:color="auto"/>
              </w:divBdr>
              <w:divsChild>
                <w:div w:id="1603954821">
                  <w:marLeft w:val="0"/>
                  <w:marRight w:val="0"/>
                  <w:marTop w:val="0"/>
                  <w:marBottom w:val="0"/>
                  <w:divBdr>
                    <w:top w:val="none" w:sz="0" w:space="0" w:color="auto"/>
                    <w:left w:val="none" w:sz="0" w:space="0" w:color="auto"/>
                    <w:bottom w:val="none" w:sz="0" w:space="0" w:color="auto"/>
                    <w:right w:val="none" w:sz="0" w:space="0" w:color="auto"/>
                  </w:divBdr>
                </w:div>
              </w:divsChild>
            </w:div>
            <w:div w:id="1942756396">
              <w:marLeft w:val="0"/>
              <w:marRight w:val="0"/>
              <w:marTop w:val="0"/>
              <w:marBottom w:val="0"/>
              <w:divBdr>
                <w:top w:val="none" w:sz="0" w:space="0" w:color="auto"/>
                <w:left w:val="none" w:sz="0" w:space="0" w:color="auto"/>
                <w:bottom w:val="none" w:sz="0" w:space="0" w:color="auto"/>
                <w:right w:val="none" w:sz="0" w:space="0" w:color="auto"/>
              </w:divBdr>
              <w:divsChild>
                <w:div w:id="1355886640">
                  <w:marLeft w:val="0"/>
                  <w:marRight w:val="0"/>
                  <w:marTop w:val="0"/>
                  <w:marBottom w:val="0"/>
                  <w:divBdr>
                    <w:top w:val="none" w:sz="0" w:space="0" w:color="auto"/>
                    <w:left w:val="none" w:sz="0" w:space="0" w:color="auto"/>
                    <w:bottom w:val="none" w:sz="0" w:space="0" w:color="auto"/>
                    <w:right w:val="none" w:sz="0" w:space="0" w:color="auto"/>
                  </w:divBdr>
                </w:div>
                <w:div w:id="8367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UWC</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cp:keywords/>
  <dc:description/>
  <cp:lastModifiedBy>AJ Smit</cp:lastModifiedBy>
  <cp:revision>2</cp:revision>
  <dcterms:created xsi:type="dcterms:W3CDTF">2020-07-23T17:21:00Z</dcterms:created>
  <dcterms:modified xsi:type="dcterms:W3CDTF">2020-07-23T17:21:00Z</dcterms:modified>
</cp:coreProperties>
</file>