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7BEDCBD7" w:rsidR="004A10BE" w:rsidRPr="00A4424B" w:rsidRDefault="00261703" w:rsidP="00AC2069">
      <w:pPr>
        <w:pStyle w:val="Head"/>
        <w:numPr>
          <w:ilvl w:val="0"/>
          <w:numId w:val="12"/>
        </w:numPr>
        <w:spacing w:before="0" w:after="0"/>
        <w:jc w:val="left"/>
        <w:rPr>
          <w:b w:val="0"/>
          <w:sz w:val="24"/>
          <w:szCs w:val="24"/>
        </w:rPr>
      </w:pPr>
      <w:r>
        <w:rPr>
          <w:b w:val="0"/>
          <w:sz w:val="24"/>
          <w:szCs w:val="24"/>
        </w:rPr>
        <w:t>Marine heat wave</w:t>
      </w:r>
      <w:r w:rsidR="00796F86">
        <w:rPr>
          <w:b w:val="0"/>
          <w:sz w:val="24"/>
          <w:szCs w:val="24"/>
        </w:rPr>
        <w:t>s</w:t>
      </w:r>
      <w:r>
        <w:rPr>
          <w:b w:val="0"/>
          <w:sz w:val="24"/>
          <w:szCs w:val="24"/>
        </w:rPr>
        <w:t xml:space="preserve"> in western boundary currents</w:t>
      </w:r>
      <w:r w:rsidR="005B36C0">
        <w:rPr>
          <w:b w:val="0"/>
          <w:sz w:val="24"/>
          <w:szCs w:val="24"/>
        </w:rPr>
        <w:t xml:space="preserve"> </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77777777" w:rsidR="00A16C38" w:rsidRDefault="00261703" w:rsidP="00AC2069">
      <w:pPr>
        <w:pStyle w:val="Teaser"/>
        <w:spacing w:before="0"/>
        <w:ind w:left="720"/>
      </w:pPr>
      <w:r w:rsidRPr="00261703">
        <w:rPr>
          <w:bCs/>
          <w:lang w:val="en-ZA"/>
        </w:rPr>
        <w:t>Albertus J. Smit</w:t>
      </w:r>
      <w:r w:rsidRPr="00261703">
        <w:rPr>
          <w:bCs/>
          <w:vertAlign w:val="superscript"/>
          <w:lang w:val="en-ZA"/>
        </w:rPr>
        <w:t>1,2</w:t>
      </w:r>
      <w: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Pr="00261703">
        <w:rPr>
          <w:bCs/>
          <w:vertAlign w:val="superscript"/>
          <w:lang w:val="en-ZA"/>
        </w:rPr>
        <w:t>5</w:t>
      </w:r>
      <w:r w:rsidRPr="00261703">
        <w:rPr>
          <w:bCs/>
          <w:lang w:val="en-ZA"/>
        </w:rPr>
        <w:t>, Robert W. Schlegel</w:t>
      </w:r>
      <w:r w:rsidRPr="00261703">
        <w:rPr>
          <w:bCs/>
          <w:vertAlign w:val="superscript"/>
          <w:lang w:val="en-ZA"/>
        </w:rPr>
        <w:t>6</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1</w:t>
      </w:r>
      <w:r w:rsidRPr="00261703">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261703">
        <w:rPr>
          <w:bCs/>
          <w:vertAlign w:val="superscript"/>
          <w:lang w:val="en-ZA"/>
        </w:rPr>
        <w:t>2</w:t>
      </w:r>
      <w:r w:rsidRPr="00261703">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47110E7E"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4</w:t>
      </w:r>
      <w:r w:rsidRPr="00261703">
        <w:rPr>
          <w:bCs/>
          <w:lang w:val="en-ZA"/>
        </w:rPr>
        <w:t xml:space="preserve"> School of Science and Engineering, University of the Sunshine Coast, Queensland, Australia</w:t>
      </w:r>
      <w:r>
        <w:rPr>
          <w:bCs/>
          <w:lang w:val="en-ZA"/>
        </w:rPr>
        <w:t>.</w:t>
      </w:r>
    </w:p>
    <w:p w14:paraId="7465E444"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5</w:t>
      </w:r>
      <w:r w:rsidRPr="00261703">
        <w:rPr>
          <w:bCs/>
          <w:lang w:val="en-ZA"/>
        </w:rPr>
        <w:t xml:space="preserve"> Oceans Graduate School, The University of Western Australia, Perth, Australia</w:t>
      </w:r>
      <w:r>
        <w:rPr>
          <w:bCs/>
          <w:lang w:val="en-ZA"/>
        </w:rPr>
        <w:t>.</w:t>
      </w:r>
    </w:p>
    <w:p w14:paraId="03F30582" w14:textId="77777777" w:rsidR="00261703" w:rsidRDefault="00261703" w:rsidP="00261703">
      <w:pPr>
        <w:pStyle w:val="AbstractSummary"/>
        <w:shd w:val="clear" w:color="auto" w:fill="FFFFFF"/>
        <w:ind w:left="720"/>
        <w:rPr>
          <w:lang w:val="en-ZA"/>
        </w:rPr>
      </w:pPr>
      <w:r w:rsidRPr="00261703">
        <w:rPr>
          <w:bCs/>
          <w:vertAlign w:val="superscript"/>
          <w:lang w:val="en-ZA"/>
        </w:rPr>
        <w:t>6</w:t>
      </w:r>
      <w:r w:rsidRPr="00261703">
        <w:rPr>
          <w:bCs/>
          <w:lang w:val="en-ZA"/>
        </w:rPr>
        <w:t xml:space="preserve"> </w:t>
      </w:r>
      <w:r w:rsidRPr="00261703">
        <w:rPr>
          <w:rFonts w:ascii="Courier New" w:hAnsi="Courier New" w:cs="Courier New"/>
          <w:bCs/>
          <w:lang w:val="en-ZA"/>
        </w:rPr>
        <w:t>﻿</w:t>
      </w:r>
      <w:r w:rsidRPr="00261703">
        <w:rPr>
          <w:bCs/>
          <w:lang w:val="en-ZA"/>
        </w:rPr>
        <w:t>Department of Oceanography, Dalhousie University, Halifax, Canada</w:t>
      </w:r>
      <w:r>
        <w:rPr>
          <w:bCs/>
          <w:lang w:val="en-ZA"/>
        </w:rPr>
        <w:t>.</w:t>
      </w:r>
      <w:r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61703">
        <w:rPr>
          <w:bCs/>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189A6C5E" w:rsidR="00CF7CC2" w:rsidRDefault="00CA0972" w:rsidP="00CF7CC2">
      <w:commentRangeStart w:id="0"/>
      <w:r>
        <w:t xml:space="preserve">Western boundary currents (WBCs) </w:t>
      </w:r>
      <w:r w:rsidR="003A0B63">
        <w:t xml:space="preserve">have the </w:t>
      </w:r>
      <w:r w:rsidR="00205D57">
        <w:t>highest</w:t>
      </w:r>
      <w:r w:rsidR="003A0B63">
        <w:t xml:space="preserve"> kinetic energy</w:t>
      </w:r>
      <w:r>
        <w:t>, carry the greatest amounts of heat</w:t>
      </w:r>
      <w:r w:rsidR="001523C7">
        <w:t>, and express</w:t>
      </w:r>
      <w:r>
        <w:t xml:space="preserve"> the fastest rates of warming in the world’s oceans. Past analyses have been </w:t>
      </w:r>
      <w:r w:rsidR="001523C7">
        <w:t xml:space="preserve">too </w:t>
      </w:r>
      <w:r w:rsidR="00205D57">
        <w:t>coarse-grained</w:t>
      </w:r>
      <w:r>
        <w:t xml:space="preserve"> </w:t>
      </w:r>
      <w:r w:rsidR="001523C7">
        <w:t>to reveal</w:t>
      </w:r>
      <w:r>
        <w:t xml:space="preserve"> regional nuances and mechanistic underpinning</w:t>
      </w:r>
      <w:r w:rsidR="00205D57">
        <w:t>s</w:t>
      </w:r>
      <w:r>
        <w:t xml:space="preserve"> of warming trends. </w:t>
      </w:r>
      <w:r w:rsidR="00205D57">
        <w:t>We apply</w:t>
      </w:r>
      <w:r>
        <w:t xml:space="preserve"> a marine heat wave (MHW) analysis to daily Optimally Interpolated Sea Surface Temperature (</w:t>
      </w:r>
      <w:proofErr w:type="spellStart"/>
      <w:r>
        <w:t>dOISST</w:t>
      </w:r>
      <w:proofErr w:type="spellEnd"/>
      <w:r>
        <w:t xml:space="preserve">) data, </w:t>
      </w:r>
      <w:r w:rsidR="00205D57">
        <w:t>and</w:t>
      </w:r>
      <w:r>
        <w:t xml:space="preserve"> provide a</w:t>
      </w:r>
      <w:r w:rsidR="003A0B63">
        <w:t>n</w:t>
      </w:r>
      <w:r>
        <w:t xml:space="preserve"> analysis of warming </w:t>
      </w:r>
      <w:r w:rsidR="003A0B63">
        <w:t xml:space="preserve">trends </w:t>
      </w:r>
      <w:r>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 xml:space="preserve">but the lateral meandering of the currents into the cooler poleward water masses </w:t>
      </w:r>
      <w:r w:rsidR="00205D57">
        <w:t>cause</w:t>
      </w:r>
      <w:r w:rsidR="008D36F8">
        <w:t xml:space="preserve"> MHW-like phenomena</w:t>
      </w:r>
      <w:r w:rsidR="00205D57">
        <w:t>. &lt;</w:t>
      </w:r>
      <w:r w:rsidR="00205D57" w:rsidRPr="00C6322B">
        <w:t>What about mean SST?</w:t>
      </w:r>
      <w:r w:rsidR="00205D57">
        <w:t>&gt; &lt;</w:t>
      </w:r>
      <w:r w:rsidR="00205D57" w:rsidRPr="00C6322B">
        <w:t>So what?</w:t>
      </w:r>
      <w:r w:rsidR="00205D57">
        <w:t>&gt;</w:t>
      </w:r>
      <w:commentRangeEnd w:id="0"/>
      <w:r w:rsidR="00A1448A">
        <w:rPr>
          <w:rStyle w:val="CommentReference"/>
          <w:rFonts w:eastAsia="Times New Roman"/>
        </w:rPr>
        <w:commentReference w:id="0"/>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lastRenderedPageBreak/>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155D9FCB"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catastrophic 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33B82B19"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xml:space="preserve">. In recent years,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also been </w:t>
      </w:r>
      <w:r w:rsidRPr="00261703">
        <w:t>extended to include those in the oceans, termed ‘Marine Heat Waves’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1B909973" w14:textId="380FE450" w:rsidR="00261703" w:rsidRDefault="00261703" w:rsidP="00EA39BC">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F058B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xml:space="preserve">, in the north 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xml:space="preserve">, and more recently the ‘Blob’ in the north 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the 2003 Mediterranean MHW may have affected up to 80% of the gorgonian fan colonies in some areas </w:t>
      </w:r>
      <w:r w:rsidR="004F57BD">
        <w:fldChar w:fldCharType="begin" w:fldLock="1"/>
      </w:r>
      <w:r w:rsidR="00F058B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w:t>
      </w:r>
      <w:r w:rsidR="004F57BD">
        <w:fldChar w:fldCharType="end"/>
      </w:r>
      <w:r w:rsidR="007418E6">
        <w:t>,</w:t>
      </w:r>
      <w:r w:rsidRPr="00261703">
        <w:t xml:space="preserve"> and the 2011 event off the west coast of Australia caused substantial loss of temperate seaweeds and a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MHWs were increasing. </w:t>
      </w:r>
      <w:commentRangeStart w:id="1"/>
      <w:r w:rsidR="00BB401E">
        <w:t>Such information will be invaluable for more effective ecosystem management and forecasting of extreme thermal phenomena</w:t>
      </w:r>
      <w:ins w:id="2" w:author="AJ Smit" w:date="2019-04-10T13:28:00Z">
        <w:r w:rsidR="00664B77">
          <w:t>, particularly for ecosystems that might be connected 'downstream' of WBCs</w:t>
        </w:r>
      </w:ins>
      <w:r w:rsidR="00BB401E">
        <w:t>.</w:t>
      </w:r>
      <w:commentRangeEnd w:id="1"/>
      <w:r w:rsidR="00BB401E">
        <w:rPr>
          <w:rStyle w:val="CommentReference"/>
          <w:rFonts w:eastAsia="Times New Roman"/>
        </w:rPr>
        <w:commentReference w:id="1"/>
      </w:r>
    </w:p>
    <w:p w14:paraId="4FAFEC34" w14:textId="77777777" w:rsidR="00EA39BC" w:rsidRPr="00261703" w:rsidRDefault="00EA39BC" w:rsidP="00EA39BC"/>
    <w:p w14:paraId="155BA227" w14:textId="0CB357E7"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rPr>
          <w:noProof/>
        </w:rPr>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rPr>
          <w:noProof/>
        </w:rPr>
        <w:t>(24)</w:t>
      </w:r>
      <w:r w:rsidR="005F5A8D" w:rsidRPr="00EA39BC">
        <w:fldChar w:fldCharType="end"/>
      </w:r>
      <w:r w:rsidRPr="00EA39BC">
        <w:t xml:space="preserve">. </w:t>
      </w:r>
      <w:r w:rsidRPr="00EA39BC">
        <w:rPr>
          <w:highlight w:val="yellow"/>
        </w:rPr>
        <w:t xml:space="preserve">Compared to the surrounding oceans over the latitudes across which WBCs are active, they carry </w:t>
      </w:r>
      <w:proofErr w:type="spellStart"/>
      <w:r w:rsidRPr="00EA39BC">
        <w:rPr>
          <w:highlight w:val="yellow"/>
        </w:rPr>
        <w:t>zzz</w:t>
      </w:r>
      <w:proofErr w:type="spellEnd"/>
      <w:r w:rsidRPr="00EA39BC">
        <w:rPr>
          <w:highlight w:val="yellow"/>
        </w:rPr>
        <w:t xml:space="preserve">% more heat {or exhibit a </w:t>
      </w:r>
      <w:proofErr w:type="spellStart"/>
      <w:r w:rsidRPr="00EA39BC">
        <w:rPr>
          <w:highlight w:val="yellow"/>
        </w:rPr>
        <w:t>zzz</w:t>
      </w:r>
      <w:proofErr w:type="spellEnd"/>
      <w:r w:rsidRPr="00EA39BC">
        <w:rPr>
          <w:highlight w:val="yellow"/>
        </w:rPr>
        <w:t>% higher SST}.</w:t>
      </w:r>
    </w:p>
    <w:p w14:paraId="573FE2BA" w14:textId="77777777" w:rsidR="00EA39BC" w:rsidRPr="00EA39BC" w:rsidRDefault="00EA39BC" w:rsidP="00EA39BC"/>
    <w:p w14:paraId="77686FAE" w14:textId="6BEA32E7" w:rsidR="00261703" w:rsidRDefault="00261703" w:rsidP="00EA39BC">
      <w:r w:rsidRPr="00261703">
        <w:t xml:space="preserve">Most </w:t>
      </w:r>
      <w:commentRangeStart w:id="3"/>
      <w:r w:rsidRPr="00261703">
        <w:t>WBCs are increasing in strength with climate change.</w:t>
      </w:r>
      <w:commentRangeEnd w:id="3"/>
      <w:r w:rsidRPr="00261703">
        <w:commentReference w:id="3"/>
      </w:r>
      <w:r w:rsidRPr="00261703">
        <w:t xml:space="preserve"> All WBCs, except for the Kuroshio Current, are extending poleward due to shifts in the radiative forcing of the predominant zonal wind systems (</w:t>
      </w:r>
      <w:r w:rsidRPr="00385C8D">
        <w:rPr>
          <w:highlight w:val="yellow"/>
        </w:rPr>
        <w:t>refs.</w:t>
      </w:r>
      <w:r w:rsidRPr="00261703">
        <w:t>). The current strength of WBCs is also intensifying under climate change for most WBCs, excluding the Gulf Stream (</w:t>
      </w:r>
      <w:r w:rsidRPr="00385C8D">
        <w:rPr>
          <w:highlight w:val="yellow"/>
        </w:rPr>
        <w:t>refs.</w:t>
      </w:r>
      <w:r w:rsidRPr="00261703">
        <w:t xml:space="preserve">). WBCs are responding by </w:t>
      </w:r>
      <w:commentRangeStart w:id="4"/>
      <w:r w:rsidRPr="00261703">
        <w:t xml:space="preserve">increasing mesoscale activity </w:t>
      </w:r>
      <w:commentRangeEnd w:id="4"/>
      <w:r w:rsidRPr="00261703">
        <w:commentReference w:id="4"/>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Pr="00261703">
        <w:t xml:space="preserve">, and they display the highest rates of </w:t>
      </w:r>
      <w:r w:rsidR="00385C8D">
        <w:t>centennial</w:t>
      </w:r>
      <w:r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Pr="00261703">
        <w:t xml:space="preserve">. </w:t>
      </w:r>
      <w:commentRangeStart w:id="5"/>
      <w:r w:rsidRPr="00261703">
        <w:t xml:space="preserve">Collectively, these lines of evidence suggest that MHWs in WBCs could continue </w:t>
      </w:r>
      <w:r w:rsidR="007418E6">
        <w:t xml:space="preserve">to </w:t>
      </w:r>
      <w:r w:rsidRPr="00261703">
        <w:t>increase in the future.</w:t>
      </w:r>
      <w:commentRangeEnd w:id="5"/>
      <w:r w:rsidR="00F10D13">
        <w:rPr>
          <w:rStyle w:val="CommentReference"/>
          <w:rFonts w:eastAsia="Times New Roman"/>
        </w:rPr>
        <w:commentReference w:id="5"/>
      </w:r>
      <w:r w:rsidR="00BB401E">
        <w:t xml:space="preserve"> </w:t>
      </w:r>
    </w:p>
    <w:p w14:paraId="4492E3B3" w14:textId="77777777" w:rsidR="00EA39BC" w:rsidRPr="00261703" w:rsidRDefault="00EA39BC" w:rsidP="00EA39BC"/>
    <w:p w14:paraId="7C916B48" w14:textId="44F2B1B7" w:rsidR="00CB31D5" w:rsidRPr="000C211B" w:rsidRDefault="00261703" w:rsidP="00EA39BC">
      <w:r w:rsidRPr="00261703">
        <w:t xml:space="preserve">Here we delve in more detail into the hypothesis that MHWs have increased over the </w:t>
      </w:r>
      <w:r w:rsidR="007418E6">
        <w:t xml:space="preserve">four decades </w:t>
      </w:r>
      <w:r w:rsidRPr="00261703">
        <w:t>in the five major WBCs of the world</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w:t>
      </w:r>
      <w:r w:rsidRPr="00261703">
        <w:lastRenderedPageBreak/>
        <w:t xml:space="preserve">impacts. The second is to identify where MHWs are primarily found in WBCs—do they occur throughout the region or are they concentrated in specific places; for example, are MHWs concentrated in the main region of intense boundary current flow or adjacent areas where instabilities including the formation of mesoscale eddies and meanders are greatest? This should inform our understanding of the primary mechanism underlying the increase in MHWs in WBCs. Last, given that MHWs are increasing in WBCs, we test the hypothesis that MHWs </w:t>
      </w:r>
      <w:commentRangeStart w:id="6"/>
      <w:r w:rsidRPr="00261703">
        <w:t>are going to increase further in the future</w:t>
      </w:r>
      <w:commentRangeEnd w:id="6"/>
      <w:r w:rsidR="007418E6">
        <w:rPr>
          <w:rStyle w:val="CommentReference"/>
          <w:rFonts w:eastAsia="Times New Roman"/>
        </w:rPr>
        <w:commentReference w:id="6"/>
      </w:r>
      <w:r w:rsidRPr="00261703">
        <w:t>, and analyse whether it is primarily their frequency, intensity</w:t>
      </w:r>
      <w:r w:rsidR="007418E6">
        <w:t>,</w:t>
      </w:r>
      <w:r w:rsidRPr="00261703">
        <w:t xml:space="preserve"> or both.</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1CBC7D76" w:rsidR="00C52AE4" w:rsidRDefault="00C52AE4" w:rsidP="00C52AE4">
      <w:pPr>
        <w:rPr>
          <w:noProof/>
        </w:rPr>
      </w:pPr>
      <w:r>
        <w:t xml:space="preserve">The similarity in formation, maintenance, and dynamics of the world’s five WBCs is remarkable, and consequently, we represent figures only for the AC. In agreement with the classical pattern of the WBCs along the coasts of their bounding continents, the plot of long-term MKE clearly visualises the quasi-stable current jet and its retroflection (AC in Fig. </w:t>
      </w:r>
      <w:r w:rsidR="000C1149">
        <w:t>1A</w:t>
      </w:r>
      <w:r>
        <w:t xml:space="preserve">; </w:t>
      </w:r>
      <w:proofErr w:type="spellStart"/>
      <w:r>
        <w:t>retroflections</w:t>
      </w:r>
      <w:proofErr w:type="spellEnd"/>
      <w:r>
        <w:t xml:space="preserve"> and extensions of other WBCs in </w:t>
      </w:r>
      <w:r w:rsidR="002828D7">
        <w:t>f</w:t>
      </w:r>
      <w:r>
        <w:t xml:space="preserve">ig. </w:t>
      </w:r>
      <w:r w:rsidR="000C1149">
        <w:t>S1A</w:t>
      </w:r>
      <w:r>
        <w:t xml:space="preserve">, </w:t>
      </w:r>
      <w:r w:rsidR="000C1149">
        <w:t>E</w:t>
      </w:r>
      <w:r>
        <w:t xml:space="preserve">, </w:t>
      </w:r>
      <w:r w:rsidR="000C1149">
        <w:t>I</w:t>
      </w:r>
      <w:r>
        <w:t xml:space="preserve">, </w:t>
      </w:r>
      <w:r w:rsidR="000C1149">
        <w:t>M</w:t>
      </w:r>
      <w:r>
        <w:t xml:space="preserve">, </w:t>
      </w:r>
      <w:r w:rsidR="000C1149">
        <w:t>Q</w:t>
      </w:r>
      <w:r>
        <w:t xml:space="preserve">). This region is clearly represented by MKE values </w:t>
      </w:r>
      <w:r w:rsidRPr="00272FCE">
        <w:rPr>
          <w:noProof/>
        </w:rPr>
        <w:t xml:space="preserve">≥ </w:t>
      </w:r>
      <w:r>
        <w:rPr>
          <w:noProof/>
        </w:rPr>
        <w:t xml:space="preserve">their </w:t>
      </w:r>
      <w:r w:rsidRPr="00272FCE">
        <w:rPr>
          <w:noProof/>
        </w:rPr>
        <w:t>90th percentile</w:t>
      </w:r>
      <w:r>
        <w:rPr>
          <w:noProof/>
        </w:rPr>
        <w:t xml:space="preserve">. Being extremely energetic, WBCs are hydrodynamically unstable, and fields of high EKE form around the jets, and in particular around the extensions and retroflections (see Fig. </w:t>
      </w:r>
      <w:r w:rsidR="00EF7099">
        <w:rPr>
          <w:noProof/>
        </w:rPr>
        <w:t xml:space="preserve">1B </w:t>
      </w:r>
      <w:r>
        <w:rPr>
          <w:noProof/>
        </w:rPr>
        <w:t xml:space="preserve">for the AC, and </w:t>
      </w:r>
      <w:r w:rsidR="002828D7">
        <w:rPr>
          <w:noProof/>
        </w:rPr>
        <w:t>f</w:t>
      </w:r>
      <w:r>
        <w:rPr>
          <w:noProof/>
        </w:rPr>
        <w:t xml:space="preserve">ig. </w:t>
      </w:r>
      <w:r w:rsidR="00EF7099">
        <w:rPr>
          <w:noProof/>
        </w:rPr>
        <w:t>S1B</w:t>
      </w:r>
      <w:r>
        <w:rPr>
          <w:noProof/>
        </w:rPr>
        <w:t xml:space="preserve">, </w:t>
      </w:r>
      <w:r w:rsidR="00EF7099">
        <w:rPr>
          <w:noProof/>
        </w:rPr>
        <w:t>F</w:t>
      </w:r>
      <w:r>
        <w:rPr>
          <w:noProof/>
        </w:rPr>
        <w:t xml:space="preserve">, </w:t>
      </w:r>
      <w:r w:rsidR="00EF7099">
        <w:rPr>
          <w:noProof/>
        </w:rPr>
        <w:t>J</w:t>
      </w:r>
      <w:r>
        <w:rPr>
          <w:noProof/>
        </w:rPr>
        <w:t xml:space="preserve">, </w:t>
      </w:r>
      <w:r w:rsidR="00EF7099">
        <w:rPr>
          <w:noProof/>
        </w:rPr>
        <w:t>N</w:t>
      </w:r>
      <w:r>
        <w:rPr>
          <w:noProof/>
        </w:rPr>
        <w:t xml:space="preserve">, </w:t>
      </w:r>
      <w:r w:rsidR="00EF7099">
        <w:rPr>
          <w:noProof/>
        </w:rPr>
        <w:t xml:space="preserve">R </w:t>
      </w:r>
      <w:r>
        <w:rPr>
          <w:noProof/>
        </w:rPr>
        <w:t xml:space="preserve">for all WBCs). Again, a field of maximal eddy energetics can be traced by ocean regions where EKE are </w:t>
      </w:r>
      <w:r w:rsidRPr="00272FCE">
        <w:rPr>
          <w:noProof/>
        </w:rPr>
        <w:t xml:space="preserve">≥ </w:t>
      </w:r>
      <w:r>
        <w:rPr>
          <w:noProof/>
        </w:rPr>
        <w:t xml:space="preserve">their </w:t>
      </w:r>
      <w:r w:rsidRPr="00272FCE">
        <w:rPr>
          <w:noProof/>
        </w:rPr>
        <w:t>90th percentile</w:t>
      </w:r>
      <w:r>
        <w:rPr>
          <w:noProof/>
        </w:rPr>
        <w:t xml:space="preserve">. Fig. </w:t>
      </w:r>
      <w:r w:rsidR="00EF7099">
        <w:rPr>
          <w:noProof/>
        </w:rPr>
        <w:t xml:space="preserve">1C </w:t>
      </w:r>
      <w:r>
        <w:rPr>
          <w:noProof/>
        </w:rPr>
        <w:t>indicates traces of the mesoscale eddies ‘populating’ the AC zone of influence of the EKE field around 13 to 40</w:t>
      </w:r>
      <w:r>
        <w:t>°E, and 36.5 to 41°S</w:t>
      </w:r>
      <w:r>
        <w:rPr>
          <w:noProof/>
        </w:rPr>
        <w:t xml:space="preserve">. In this case it is particularly the areas where the AC </w:t>
      </w:r>
      <w:r>
        <w:rPr>
          <w:noProof/>
        </w:rPr>
        <w:lastRenderedPageBreak/>
        <w:t xml:space="preserve">retroflection form that the formation of eddies extract energy from the mean AC path; some of these eddies eventually dissipate back into the retroflection, and are therefore also responsible for maintaining this retroflection as it extends eastwards into the </w:t>
      </w:r>
      <w:r w:rsidRPr="00F66969">
        <w:rPr>
          <w:rFonts w:ascii="Courier New" w:hAnsi="Courier New" w:cs="Courier New"/>
          <w:noProof/>
        </w:rPr>
        <w:t>﻿</w:t>
      </w:r>
      <w:r>
        <w:rPr>
          <w:noProof/>
        </w:rPr>
        <w:t>s</w:t>
      </w:r>
      <w:r w:rsidRPr="00F66969">
        <w:rPr>
          <w:noProof/>
        </w:rPr>
        <w:t xml:space="preserve">outh Indian Ocean between </w:t>
      </w:r>
      <w:r>
        <w:rPr>
          <w:noProof/>
        </w:rPr>
        <w:t>37</w:t>
      </w:r>
      <w:r>
        <w:t>°</w:t>
      </w:r>
      <w:r w:rsidRPr="00F66969">
        <w:rPr>
          <w:noProof/>
        </w:rPr>
        <w:t xml:space="preserve"> and 4</w:t>
      </w:r>
      <w:r>
        <w:rPr>
          <w:noProof/>
        </w:rPr>
        <w:t>1</w:t>
      </w:r>
      <w:r>
        <w:t>°</w:t>
      </w:r>
      <w:r w:rsidRPr="00F66969">
        <w:rPr>
          <w:noProof/>
        </w:rPr>
        <w:t>S</w:t>
      </w:r>
      <w:r>
        <w:rPr>
          <w:noProof/>
        </w:rPr>
        <w:t>, as far as 40</w:t>
      </w:r>
      <w:r>
        <w:t>°E</w:t>
      </w:r>
      <w:r>
        <w:rPr>
          <w:noProof/>
        </w:rPr>
        <w:t xml:space="preserve">. The formation of eddies that contribute towards the EKE field is </w:t>
      </w:r>
      <w:r w:rsidR="00AE3FCA">
        <w:t>visually indistinguishable</w:t>
      </w:r>
      <w:r>
        <w:rPr>
          <w:noProof/>
        </w:rPr>
        <w:t xml:space="preserve"> in the other WBCs (</w:t>
      </w:r>
      <w:r w:rsidR="002828D7">
        <w:t>f</w:t>
      </w:r>
      <w:r>
        <w:t xml:space="preserve">ig. </w:t>
      </w:r>
      <w:r w:rsidR="00EF7099">
        <w:t>S1C</w:t>
      </w:r>
      <w:r>
        <w:t xml:space="preserve">, </w:t>
      </w:r>
      <w:r w:rsidR="00EF7099">
        <w:t>G</w:t>
      </w:r>
      <w:r>
        <w:t xml:space="preserve">, </w:t>
      </w:r>
      <w:r w:rsidR="00EF7099">
        <w:t>K</w:t>
      </w:r>
      <w:r>
        <w:t xml:space="preserve">, </w:t>
      </w:r>
      <w:r w:rsidR="00EF7099">
        <w:t>O</w:t>
      </w:r>
      <w:r>
        <w:t xml:space="preserve">, </w:t>
      </w:r>
      <w:r w:rsidR="00EF7099">
        <w:t>S</w:t>
      </w:r>
      <w:r>
        <w:t xml:space="preserve">). </w:t>
      </w:r>
      <w:r w:rsidR="001B7ADA">
        <w:t>T</w:t>
      </w:r>
      <w:r>
        <w:t>he area where MHW intensity is greatest</w:t>
      </w:r>
      <w:r w:rsidR="001B7ADA">
        <w:t xml:space="preserve"> is indicated</w:t>
      </w:r>
      <w:r>
        <w:t>, and again this region is enclosed by a polygon that captures the location where mean MHW intensit</w:t>
      </w:r>
      <w:r w:rsidR="00AE3FCA">
        <w:t>ies</w:t>
      </w:r>
      <w:r>
        <w:t xml:space="preserve"> </w:t>
      </w:r>
      <w:r w:rsidRPr="00272FCE">
        <w:rPr>
          <w:noProof/>
        </w:rPr>
        <w:t xml:space="preserve">≥ </w:t>
      </w:r>
      <w:r>
        <w:rPr>
          <w:noProof/>
        </w:rPr>
        <w:t xml:space="preserve">their </w:t>
      </w:r>
      <w:r w:rsidRPr="00272FCE">
        <w:rPr>
          <w:noProof/>
        </w:rPr>
        <w:t>90th percentile</w:t>
      </w:r>
      <w:r>
        <w:rPr>
          <w:noProof/>
        </w:rPr>
        <w:t xml:space="preserve"> (Fig. </w:t>
      </w:r>
      <w:r w:rsidR="00EF7099">
        <w:rPr>
          <w:noProof/>
        </w:rPr>
        <w:t>1D</w:t>
      </w:r>
      <w:r>
        <w:rPr>
          <w:noProof/>
        </w:rPr>
        <w:t>). For the AC this region is just south of 40</w:t>
      </w:r>
      <w:r>
        <w:t>°S, from 10°E to 27°E, near the field of high EKE. The situation is the same for the BC, EAC, GS, and KC (</w:t>
      </w:r>
      <w:r w:rsidR="002828D7">
        <w:rPr>
          <w:noProof/>
        </w:rPr>
        <w:t>f</w:t>
      </w:r>
      <w:r>
        <w:rPr>
          <w:noProof/>
        </w:rPr>
        <w:t xml:space="preserve">ig. </w:t>
      </w:r>
      <w:r w:rsidR="00EF7099">
        <w:rPr>
          <w:noProof/>
        </w:rPr>
        <w:t>S1D</w:t>
      </w:r>
      <w:r>
        <w:rPr>
          <w:noProof/>
        </w:rPr>
        <w:t xml:space="preserve">, </w:t>
      </w:r>
      <w:r w:rsidR="00EF7099">
        <w:rPr>
          <w:noProof/>
        </w:rPr>
        <w:t>H</w:t>
      </w:r>
      <w:r>
        <w:rPr>
          <w:noProof/>
        </w:rPr>
        <w:t xml:space="preserve">, </w:t>
      </w:r>
      <w:r w:rsidR="00EF7099">
        <w:rPr>
          <w:noProof/>
        </w:rPr>
        <w:t>L</w:t>
      </w:r>
      <w:r>
        <w:rPr>
          <w:noProof/>
        </w:rPr>
        <w:t xml:space="preserve">, </w:t>
      </w:r>
      <w:r w:rsidR="00EF7099">
        <w:rPr>
          <w:noProof/>
        </w:rPr>
        <w:t>P</w:t>
      </w:r>
      <w:r>
        <w:rPr>
          <w:noProof/>
        </w:rPr>
        <w:t xml:space="preserve">, </w:t>
      </w:r>
      <w:r w:rsidR="00EF7099">
        <w:rPr>
          <w:noProof/>
        </w:rPr>
        <w:t>T</w:t>
      </w:r>
      <w:r>
        <w:t>).</w:t>
      </w:r>
    </w:p>
    <w:p w14:paraId="5836197B" w14:textId="77777777" w:rsidR="00C52AE4" w:rsidRPr="00F95208" w:rsidRDefault="00C52AE4" w:rsidP="00C52AE4"/>
    <w:p w14:paraId="2E7C6EE8" w14:textId="351DCC4B"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sidR="0060303C">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sidR="00EF7099">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sidR="00EF7099">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sidR="00EF7099">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sidR="00EF7099">
        <w:rPr>
          <w:rFonts w:ascii="Arial" w:hAnsi="Arial" w:cs="Arial"/>
          <w:color w:val="4472C4" w:themeColor="accent1"/>
        </w:rPr>
        <w:t>f</w:t>
      </w:r>
      <w:r w:rsidR="00EF7099"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25C06EB4" w:rsidR="00C52AE4" w:rsidRPr="00653FAB" w:rsidRDefault="00C52AE4" w:rsidP="00C52AE4">
      <w:pPr>
        <w:pStyle w:val="ListParagraph"/>
        <w:numPr>
          <w:ilvl w:val="0"/>
          <w:numId w:val="17"/>
        </w:numPr>
        <w:rPr>
          <w:rFonts w:ascii="Arial" w:hAnsi="Arial" w:cs="Arial"/>
          <w:color w:val="4472C4" w:themeColor="accent1"/>
          <w:sz w:val="20"/>
          <w:szCs w:val="20"/>
        </w:rPr>
      </w:pPr>
      <w:r w:rsidRPr="00653FAB">
        <w:rPr>
          <w:rFonts w:ascii="Arial" w:hAnsi="Arial" w:cs="Arial"/>
          <w:b/>
          <w:color w:val="4472C4" w:themeColor="accent1"/>
          <w:sz w:val="20"/>
          <w:szCs w:val="20"/>
        </w:rPr>
        <w:t>Fig. S1</w:t>
      </w:r>
      <w:r w:rsidR="00653FAB">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sidR="00653FAB">
        <w:rPr>
          <w:rFonts w:ascii="Arial" w:hAnsi="Arial" w:cs="Arial"/>
          <w:b/>
          <w:color w:val="4472C4" w:themeColor="accent1"/>
          <w:sz w:val="20"/>
          <w:szCs w:val="20"/>
        </w:rPr>
        <w:t>A</w:t>
      </w:r>
      <w:r w:rsidRPr="00653FAB">
        <w:rPr>
          <w:rFonts w:ascii="Arial" w:hAnsi="Arial" w:cs="Arial"/>
          <w:b/>
          <w:color w:val="4472C4" w:themeColor="accent1"/>
          <w:sz w:val="20"/>
          <w:szCs w:val="20"/>
        </w:rPr>
        <w:t>-</w:t>
      </w:r>
      <w:r w:rsidR="00653FAB">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653FAB">
      <w:pPr>
        <w:ind w:left="0"/>
      </w:pPr>
    </w:p>
    <w:p w14:paraId="1CF3E843" w14:textId="59CB2E8B" w:rsidR="00C52AE4" w:rsidRDefault="00C52AE4" w:rsidP="00C52AE4">
      <w:r>
        <w:t xml:space="preserve">Outlines tracing the fields of maximal MKE and EKE, and areas of intense MHW activity, aid in localising the regions where each of these phenomena are most dominant relative to each other (Fig. </w:t>
      </w:r>
      <w:r w:rsidR="000120C2">
        <w:t>2A</w:t>
      </w:r>
      <w:r>
        <w:t>-</w:t>
      </w:r>
      <w:r w:rsidR="000120C2">
        <w:t>E</w:t>
      </w:r>
      <w:r>
        <w:t xml:space="preserve">). In all instances, MHW activity, as shown here by the mean MHW intensity, is associated more with high EKE regions, and less so with the boundary current jets. However, the association of MHW activity with respect to the EKE field is not perfect, as is especially evident for the AC, GS, and KC. In the AC, GS, and KC, the </w:t>
      </w:r>
      <w:proofErr w:type="spellStart"/>
      <w:r>
        <w:t>retroflections</w:t>
      </w:r>
      <w:proofErr w:type="spellEnd"/>
      <w:r>
        <w:t xml:space="preserve"> and extensions extend eastward into the south Indian Ocean, North Atlantic, and North Pacific Ocean, respectively. MHW activity is shifted to the north of the associated eddy fields of the GS and KC, and to the south thereof in the AC region. The separation between regions dominated by high EKE and MHW activity is less clear in the BC and EAC, but nevertheless seem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2CCAF6C9"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sidR="000120C2">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sidR="000120C2">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sidR="000120C2">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sidR="000120C2">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sidR="000120C2">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w:t>
      </w:r>
      <w:r w:rsidR="00C54F6F" w:rsidRPr="00C52AE4">
        <w:rPr>
          <w:rFonts w:ascii="Arial" w:hAnsi="Arial" w:cs="Arial"/>
          <w:color w:val="4472C4" w:themeColor="accent1"/>
        </w:rPr>
        <w:t>1</w:t>
      </w:r>
      <w:r w:rsidR="00C54F6F">
        <w:rPr>
          <w:rFonts w:ascii="Arial" w:hAnsi="Arial" w:cs="Arial"/>
          <w:color w:val="4472C4" w:themeColor="accent1"/>
        </w:rPr>
        <w:t>A</w:t>
      </w:r>
      <w:r w:rsidRPr="00C52AE4">
        <w:rPr>
          <w:rFonts w:ascii="Arial" w:hAnsi="Arial" w:cs="Arial"/>
          <w:color w:val="4472C4" w:themeColor="accent1"/>
        </w:rPr>
        <w:t>-</w:t>
      </w:r>
      <w:r w:rsidR="00C54F6F">
        <w:rPr>
          <w:rFonts w:ascii="Arial" w:hAnsi="Arial" w:cs="Arial"/>
          <w:color w:val="4472C4" w:themeColor="accent1"/>
        </w:rPr>
        <w:t>B</w:t>
      </w:r>
      <w:r w:rsidR="00C54F6F" w:rsidRPr="00C52AE4">
        <w:rPr>
          <w:rFonts w:ascii="Arial" w:hAnsi="Arial" w:cs="Arial"/>
          <w:color w:val="4472C4" w:themeColor="accent1"/>
        </w:rPr>
        <w:t xml:space="preserve"> </w:t>
      </w:r>
      <w:r w:rsidRPr="00C52AE4">
        <w:rPr>
          <w:rFonts w:ascii="Arial" w:hAnsi="Arial" w:cs="Arial"/>
          <w:color w:val="4472C4" w:themeColor="accent1"/>
        </w:rPr>
        <w:t>(</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269783D1" w:rsidR="00C52AE4" w:rsidRDefault="00C52AE4" w:rsidP="00C52AE4">
      <w:r>
        <w:t xml:space="preserve">Looking at MKE and mean </w:t>
      </w:r>
      <w:r w:rsidR="001B7ADA">
        <w:t xml:space="preserve">MHW </w:t>
      </w:r>
      <w:r>
        <w:t xml:space="preserve">intensity, we see that there is a negative correlation between them in the areas that are dominated by the fastest current speeds. This is most visible in the </w:t>
      </w:r>
      <w:r w:rsidR="001B7ADA">
        <w:t>AC</w:t>
      </w:r>
      <w:r w:rsidR="007E5D76">
        <w:t xml:space="preserve"> </w:t>
      </w:r>
      <w:r>
        <w:t xml:space="preserve">and </w:t>
      </w:r>
      <w:r w:rsidR="001B7ADA">
        <w:t>KC</w:t>
      </w:r>
      <w:r>
        <w:t xml:space="preserve"> jets, but less clear in the </w:t>
      </w:r>
      <w:r w:rsidR="001B7ADA">
        <w:t>GS</w:t>
      </w:r>
      <w:r>
        <w:t xml:space="preserve">, </w:t>
      </w:r>
      <w:r w:rsidR="001B7ADA">
        <w:t>EAC</w:t>
      </w:r>
      <w:r>
        <w:t xml:space="preserve">, and </w:t>
      </w:r>
      <w:r w:rsidR="001B7ADA">
        <w:t>BC</w:t>
      </w:r>
      <w:r>
        <w:t xml:space="preserve">.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w:t>
      </w:r>
      <w:r w:rsidR="001B7ADA">
        <w:t>AC</w:t>
      </w:r>
      <w:r>
        <w:t>, the region of the return current where mean 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16C1573D" w:rsidR="00C52AE4" w:rsidRDefault="00C52AE4" w:rsidP="00C52AE4">
      <w:ins w:id="7" w:author="Unknown Author" w:date="2019-02-27T15:46:00Z">
        <w:r>
          <w:lastRenderedPageBreak/>
          <w:t xml:space="preserve">When correlating the areas of highest EKE for all five WBCs (seen as deep purple in each panel of </w:t>
        </w:r>
        <w:r w:rsidRPr="00C52AE4">
          <w:rPr>
            <w:highlight w:val="yellow"/>
          </w:rPr>
          <w:t>Fig</w:t>
        </w:r>
      </w:ins>
      <w:r w:rsidRPr="00C52AE4">
        <w:rPr>
          <w:highlight w:val="yellow"/>
        </w:rPr>
        <w:t>.</w:t>
      </w:r>
      <w:ins w:id="8" w:author="Unknown Author" w:date="2019-02-27T15:46:00Z">
        <w:r w:rsidRPr="00C52AE4">
          <w:rPr>
            <w:highlight w:val="yellow"/>
          </w:rPr>
          <w:t xml:space="preserve"> XXX</w:t>
        </w:r>
        <w:r>
          <w:t xml:space="preserve">) to the mean intensity of the MHWs detected there, we tend to see that a dipole-like structure </w:t>
        </w:r>
      </w:ins>
      <w:ins w:id="9" w:author="Unknown Author" w:date="2019-02-27T15:49:00Z">
        <w:r>
          <w:t>is formed</w:t>
        </w:r>
      </w:ins>
      <w:ins w:id="10" w:author="Unknown Author" w:date="2019-02-27T15:51:00Z">
        <w:r>
          <w:t>.</w:t>
        </w:r>
      </w:ins>
      <w:ins w:id="11" w:author="Unknown Author" w:date="2019-02-27T15:47:00Z">
        <w:r>
          <w:t xml:space="preserve"> This structure shows positive correlations in EKE and mean intensity occurring within the poleward side of the high EKE regions, and negative correlations in the equatorward side.</w:t>
        </w:r>
      </w:ins>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but they are more complex and quite difficult to describe.</w:t>
      </w:r>
    </w:p>
    <w:p w14:paraId="46710794" w14:textId="77777777" w:rsidR="00C52AE4" w:rsidRDefault="00C52AE4" w:rsidP="00C52AE4">
      <w:pPr>
        <w:rPr>
          <w:color w:val="4472C4" w:themeColor="accent1"/>
        </w:rPr>
      </w:pPr>
    </w:p>
    <w:p w14:paraId="793C8C4F" w14:textId="1D876B23"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sidR="000120C2">
        <w:rPr>
          <w:rFonts w:ascii="Arial" w:hAnsi="Arial" w:cs="Arial"/>
          <w:b/>
          <w:noProof/>
          <w:color w:val="4472C4" w:themeColor="accent1"/>
        </w:rPr>
        <w:t>A</w:t>
      </w:r>
      <w:r w:rsidRPr="00C52AE4">
        <w:rPr>
          <w:rFonts w:ascii="Arial" w:hAnsi="Arial" w:cs="Arial"/>
          <w:b/>
          <w:noProof/>
          <w:color w:val="4472C4" w:themeColor="accent1"/>
        </w:rPr>
        <w:t xml:space="preserve">, </w:t>
      </w:r>
      <w:r w:rsidR="000120C2">
        <w:rPr>
          <w:rFonts w:ascii="Arial" w:hAnsi="Arial" w:cs="Arial"/>
          <w:b/>
          <w:noProof/>
          <w:color w:val="4472C4" w:themeColor="accent1"/>
        </w:rPr>
        <w:t>C</w:t>
      </w:r>
      <w:r w:rsidRPr="00C52AE4">
        <w:rPr>
          <w:rFonts w:ascii="Arial" w:hAnsi="Arial" w:cs="Arial"/>
          <w:b/>
          <w:noProof/>
          <w:color w:val="4472C4" w:themeColor="accent1"/>
        </w:rPr>
        <w:t xml:space="preserve">, </w:t>
      </w:r>
      <w:r w:rsidR="000120C2">
        <w:rPr>
          <w:rFonts w:ascii="Arial" w:hAnsi="Arial" w:cs="Arial"/>
          <w:b/>
          <w:noProof/>
          <w:color w:val="4472C4" w:themeColor="accent1"/>
        </w:rPr>
        <w:t>E</w:t>
      </w:r>
      <w:r w:rsidRPr="00C52AE4">
        <w:rPr>
          <w:rFonts w:ascii="Arial" w:hAnsi="Arial" w:cs="Arial"/>
          <w:b/>
          <w:noProof/>
          <w:color w:val="4472C4" w:themeColor="accent1"/>
        </w:rPr>
        <w:t xml:space="preserve">, </w:t>
      </w:r>
      <w:r w:rsidR="000120C2">
        <w:rPr>
          <w:rFonts w:ascii="Arial" w:hAnsi="Arial" w:cs="Arial"/>
          <w:b/>
          <w:noProof/>
          <w:color w:val="4472C4" w:themeColor="accent1"/>
        </w:rPr>
        <w:t>G</w:t>
      </w:r>
      <w:r w:rsidRPr="00C52AE4">
        <w:rPr>
          <w:rFonts w:ascii="Arial" w:hAnsi="Arial" w:cs="Arial"/>
          <w:b/>
          <w:noProof/>
          <w:color w:val="4472C4" w:themeColor="accent1"/>
        </w:rPr>
        <w:t xml:space="preserve">, </w:t>
      </w:r>
      <w:r w:rsidR="000120C2">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sidR="000120C2">
        <w:rPr>
          <w:rFonts w:ascii="Arial" w:hAnsi="Arial" w:cs="Arial"/>
          <w:b/>
          <w:noProof/>
          <w:color w:val="4472C4" w:themeColor="accent1"/>
        </w:rPr>
        <w:t>B</w:t>
      </w:r>
      <w:r w:rsidRPr="00C52AE4">
        <w:rPr>
          <w:rFonts w:ascii="Arial" w:hAnsi="Arial" w:cs="Arial"/>
          <w:b/>
          <w:noProof/>
          <w:color w:val="4472C4" w:themeColor="accent1"/>
        </w:rPr>
        <w:t xml:space="preserve">, </w:t>
      </w:r>
      <w:r w:rsidR="000120C2">
        <w:rPr>
          <w:rFonts w:ascii="Arial" w:hAnsi="Arial" w:cs="Arial"/>
          <w:b/>
          <w:noProof/>
          <w:color w:val="4472C4" w:themeColor="accent1"/>
        </w:rPr>
        <w:t>D</w:t>
      </w:r>
      <w:r w:rsidRPr="00C52AE4">
        <w:rPr>
          <w:rFonts w:ascii="Arial" w:hAnsi="Arial" w:cs="Arial"/>
          <w:b/>
          <w:noProof/>
          <w:color w:val="4472C4" w:themeColor="accent1"/>
        </w:rPr>
        <w:t xml:space="preserve">, </w:t>
      </w:r>
      <w:r w:rsidR="000120C2">
        <w:rPr>
          <w:rFonts w:ascii="Arial" w:hAnsi="Arial" w:cs="Arial"/>
          <w:b/>
          <w:noProof/>
          <w:color w:val="4472C4" w:themeColor="accent1"/>
        </w:rPr>
        <w:t>F</w:t>
      </w:r>
      <w:r w:rsidRPr="00C52AE4">
        <w:rPr>
          <w:rFonts w:ascii="Arial" w:hAnsi="Arial" w:cs="Arial"/>
          <w:b/>
          <w:noProof/>
          <w:color w:val="4472C4" w:themeColor="accent1"/>
        </w:rPr>
        <w:t xml:space="preserve">, </w:t>
      </w:r>
      <w:r w:rsidR="000120C2">
        <w:rPr>
          <w:rFonts w:ascii="Arial" w:hAnsi="Arial" w:cs="Arial"/>
          <w:b/>
          <w:noProof/>
          <w:color w:val="4472C4" w:themeColor="accent1"/>
        </w:rPr>
        <w:t>H</w:t>
      </w:r>
      <w:r w:rsidRPr="00C52AE4">
        <w:rPr>
          <w:rFonts w:ascii="Arial" w:hAnsi="Arial" w:cs="Arial"/>
          <w:b/>
          <w:noProof/>
          <w:color w:val="4472C4" w:themeColor="accent1"/>
        </w:rPr>
        <w:t xml:space="preserve">, </w:t>
      </w:r>
      <w:r w:rsidR="000120C2">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378256CC" w:rsidR="00C52AE4" w:rsidRDefault="00C52AE4" w:rsidP="00C52AE4">
      <w:r>
        <w:rPr>
          <w:b/>
          <w:i/>
        </w:rPr>
        <w:t xml:space="preserve">Trends in </w:t>
      </w:r>
      <w:r w:rsidR="00A06F2C">
        <w:rPr>
          <w:b/>
          <w:i/>
        </w:rPr>
        <w:t xml:space="preserve">SST and </w:t>
      </w:r>
      <w:r>
        <w:rPr>
          <w:b/>
          <w:i/>
        </w:rPr>
        <w:t xml:space="preserve">selected </w:t>
      </w:r>
      <w:r w:rsidRPr="002D2B13">
        <w:rPr>
          <w:b/>
          <w:i/>
        </w:rPr>
        <w:t>MHW metrics</w:t>
      </w:r>
    </w:p>
    <w:p w14:paraId="0BA19F57" w14:textId="21C289ED" w:rsidR="00C52AE4" w:rsidRDefault="00A06F2C" w:rsidP="00C52AE4">
      <w:pPr>
        <w:rPr>
          <w:color w:val="4472C4" w:themeColor="accent1"/>
        </w:rPr>
      </w:pPr>
      <w:r>
        <w:rPr>
          <w:color w:val="4472C4" w:themeColor="accent1"/>
        </w:rPr>
        <w:t>&lt;Results of mean SST decadal trend.&gt;</w:t>
      </w:r>
    </w:p>
    <w:p w14:paraId="6FFC6DE7" w14:textId="330D2665" w:rsidR="00A06F2C" w:rsidRDefault="00A06F2C" w:rsidP="00C52AE4">
      <w:pPr>
        <w:rPr>
          <w:color w:val="4472C4" w:themeColor="accent1"/>
        </w:rPr>
      </w:pPr>
      <w:r>
        <w:rPr>
          <w:color w:val="4472C4" w:themeColor="accent1"/>
        </w:rPr>
        <w:t>&lt;Results of some MHW metrics trends.&gt;</w:t>
      </w:r>
    </w:p>
    <w:p w14:paraId="072A0208" w14:textId="77777777" w:rsidR="00A06F2C" w:rsidRPr="00DD6EE9" w:rsidRDefault="00A06F2C" w:rsidP="00C52AE4">
      <w:pPr>
        <w:rPr>
          <w:color w:val="4472C4" w:themeColor="accent1"/>
        </w:rPr>
      </w:pPr>
    </w:p>
    <w:p w14:paraId="526A852D" w14:textId="0C4D82D1" w:rsidR="00C52AE4" w:rsidRPr="00C52AE4" w:rsidRDefault="00C52AE4" w:rsidP="00C52AE4">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0120C2">
        <w:rPr>
          <w:rFonts w:ascii="Arial" w:hAnsi="Arial" w:cs="Arial"/>
          <w:color w:val="4472C4" w:themeColor="accent1"/>
        </w:rPr>
        <w:t>(</w:t>
      </w:r>
      <w:r w:rsidR="000120C2">
        <w:rPr>
          <w:rFonts w:ascii="Arial" w:hAnsi="Arial" w:cs="Arial"/>
          <w:b/>
          <w:color w:val="4472C4" w:themeColor="accent1"/>
        </w:rPr>
        <w:t>A</w:t>
      </w:r>
      <w:r w:rsidRPr="00C52AE4">
        <w:rPr>
          <w:rFonts w:ascii="Arial" w:hAnsi="Arial" w:cs="Arial"/>
          <w:b/>
          <w:color w:val="4472C4" w:themeColor="accent1"/>
        </w:rPr>
        <w:t xml:space="preserve">, </w:t>
      </w:r>
      <w:r w:rsidR="000120C2">
        <w:rPr>
          <w:rFonts w:ascii="Arial" w:hAnsi="Arial" w:cs="Arial"/>
          <w:b/>
          <w:color w:val="4472C4" w:themeColor="accent1"/>
        </w:rPr>
        <w:t>C</w:t>
      </w:r>
      <w:r w:rsidRPr="00C52AE4">
        <w:rPr>
          <w:rFonts w:ascii="Arial" w:hAnsi="Arial" w:cs="Arial"/>
          <w:b/>
          <w:color w:val="4472C4" w:themeColor="accent1"/>
        </w:rPr>
        <w:t xml:space="preserve">, </w:t>
      </w:r>
      <w:r w:rsidR="000120C2">
        <w:rPr>
          <w:rFonts w:ascii="Arial" w:hAnsi="Arial" w:cs="Arial"/>
          <w:b/>
          <w:color w:val="4472C4" w:themeColor="accent1"/>
        </w:rPr>
        <w:t>E</w:t>
      </w:r>
      <w:r w:rsidRPr="00C52AE4">
        <w:rPr>
          <w:rFonts w:ascii="Arial" w:hAnsi="Arial" w:cs="Arial"/>
          <w:b/>
          <w:color w:val="4472C4" w:themeColor="accent1"/>
        </w:rPr>
        <w:t xml:space="preserve">, </w:t>
      </w:r>
      <w:r w:rsidR="000120C2">
        <w:rPr>
          <w:rFonts w:ascii="Arial" w:hAnsi="Arial" w:cs="Arial"/>
          <w:b/>
          <w:color w:val="4472C4" w:themeColor="accent1"/>
        </w:rPr>
        <w:t>G</w:t>
      </w:r>
      <w:r w:rsidRPr="00C52AE4">
        <w:rPr>
          <w:rFonts w:ascii="Arial" w:hAnsi="Arial" w:cs="Arial"/>
          <w:b/>
          <w:color w:val="4472C4" w:themeColor="accent1"/>
        </w:rPr>
        <w:t xml:space="preserve">, </w:t>
      </w:r>
      <w:r w:rsidR="000120C2">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HMW intensity (°C per decade), and the </w:t>
      </w:r>
      <w:r w:rsidRPr="000120C2">
        <w:rPr>
          <w:rFonts w:ascii="Arial" w:hAnsi="Arial" w:cs="Arial"/>
          <w:color w:val="4472C4" w:themeColor="accent1"/>
        </w:rPr>
        <w:t>(</w:t>
      </w:r>
      <w:r w:rsidR="000120C2">
        <w:rPr>
          <w:rFonts w:ascii="Arial" w:hAnsi="Arial" w:cs="Arial"/>
          <w:b/>
          <w:color w:val="4472C4" w:themeColor="accent1"/>
        </w:rPr>
        <w:t>B</w:t>
      </w:r>
      <w:r w:rsidRPr="00C52AE4">
        <w:rPr>
          <w:rFonts w:ascii="Arial" w:hAnsi="Arial" w:cs="Arial"/>
          <w:b/>
          <w:color w:val="4472C4" w:themeColor="accent1"/>
        </w:rPr>
        <w:t xml:space="preserve">, </w:t>
      </w:r>
      <w:r w:rsidR="000120C2">
        <w:rPr>
          <w:rFonts w:ascii="Arial" w:hAnsi="Arial" w:cs="Arial"/>
          <w:b/>
          <w:color w:val="4472C4" w:themeColor="accent1"/>
        </w:rPr>
        <w:t>D</w:t>
      </w:r>
      <w:r w:rsidRPr="00C52AE4">
        <w:rPr>
          <w:rFonts w:ascii="Arial" w:hAnsi="Arial" w:cs="Arial"/>
          <w:b/>
          <w:color w:val="4472C4" w:themeColor="accent1"/>
        </w:rPr>
        <w:t xml:space="preserve">, </w:t>
      </w:r>
      <w:r w:rsidR="000120C2">
        <w:rPr>
          <w:rFonts w:ascii="Arial" w:hAnsi="Arial" w:cs="Arial"/>
          <w:b/>
          <w:color w:val="4472C4" w:themeColor="accent1"/>
        </w:rPr>
        <w:t>F</w:t>
      </w:r>
      <w:r w:rsidRPr="00C52AE4">
        <w:rPr>
          <w:rFonts w:ascii="Arial" w:hAnsi="Arial" w:cs="Arial"/>
          <w:b/>
          <w:color w:val="4472C4" w:themeColor="accent1"/>
        </w:rPr>
        <w:t xml:space="preserve">, </w:t>
      </w:r>
      <w:r w:rsidR="000120C2">
        <w:rPr>
          <w:rFonts w:ascii="Arial" w:hAnsi="Arial" w:cs="Arial"/>
          <w:b/>
          <w:color w:val="4472C4" w:themeColor="accent1"/>
        </w:rPr>
        <w:t>H</w:t>
      </w:r>
      <w:r w:rsidRPr="00C52AE4">
        <w:rPr>
          <w:rFonts w:ascii="Arial" w:hAnsi="Arial" w:cs="Arial"/>
          <w:b/>
          <w:color w:val="4472C4" w:themeColor="accent1"/>
        </w:rPr>
        <w:t xml:space="preserve">, </w:t>
      </w:r>
      <w:r w:rsidR="000120C2">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sidR="000120C2">
        <w:rPr>
          <w:rFonts w:ascii="Arial" w:hAnsi="Arial" w:cs="Arial"/>
          <w:color w:val="4472C4" w:themeColor="accent1"/>
        </w:rPr>
        <w:t>f</w:t>
      </w:r>
      <w:r w:rsidR="000120C2"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5B83EE81" w14:textId="577AB036" w:rsidR="00C52AE4" w:rsidRPr="00A06F2C" w:rsidRDefault="00C52AE4" w:rsidP="00C52AE4">
      <w:pPr>
        <w:pStyle w:val="ListParagraph"/>
        <w:numPr>
          <w:ilvl w:val="0"/>
          <w:numId w:val="17"/>
        </w:numPr>
        <w:rPr>
          <w:rFonts w:ascii="Arial" w:hAnsi="Arial" w:cs="Arial"/>
          <w:color w:val="4472C4" w:themeColor="accent1"/>
          <w:sz w:val="20"/>
          <w:szCs w:val="20"/>
        </w:rPr>
      </w:pPr>
      <w:r w:rsidRPr="00A06F2C">
        <w:rPr>
          <w:rFonts w:ascii="Arial" w:hAnsi="Arial" w:cs="Arial"/>
          <w:b/>
          <w:color w:val="4472C4" w:themeColor="accent1"/>
          <w:sz w:val="20"/>
          <w:szCs w:val="20"/>
        </w:rPr>
        <w:t>Fig. S2</w:t>
      </w:r>
      <w:r w:rsidR="00A06F2C" w:rsidRPr="00A06F2C">
        <w:rPr>
          <w:rFonts w:ascii="Arial" w:hAnsi="Arial" w:cs="Arial"/>
          <w:b/>
          <w:color w:val="4472C4" w:themeColor="accent1"/>
          <w:sz w:val="20"/>
          <w:szCs w:val="20"/>
        </w:rPr>
        <w:t>.</w:t>
      </w:r>
      <w:r w:rsidRPr="00A06F2C">
        <w:rPr>
          <w:rFonts w:ascii="Arial" w:hAnsi="Arial" w:cs="Arial"/>
          <w:b/>
          <w:color w:val="4472C4" w:themeColor="accent1"/>
          <w:sz w:val="20"/>
          <w:szCs w:val="20"/>
        </w:rPr>
        <w:t xml:space="preserve"> </w:t>
      </w:r>
      <w:r w:rsidRPr="00A06F2C">
        <w:rPr>
          <w:rFonts w:ascii="Arial" w:hAnsi="Arial" w:cs="Arial"/>
          <w:color w:val="4472C4" w:themeColor="accent1"/>
          <w:sz w:val="20"/>
          <w:szCs w:val="20"/>
        </w:rPr>
        <w:t>(</w:t>
      </w:r>
      <w:r w:rsidR="000120C2" w:rsidRPr="00A06F2C">
        <w:rPr>
          <w:rFonts w:ascii="Arial" w:hAnsi="Arial" w:cs="Arial"/>
          <w:b/>
          <w:color w:val="4472C4" w:themeColor="accent1"/>
          <w:sz w:val="20"/>
          <w:szCs w:val="20"/>
        </w:rPr>
        <w:t>A</w:t>
      </w:r>
      <w:r w:rsidRPr="00A06F2C">
        <w:rPr>
          <w:rFonts w:ascii="Arial" w:hAnsi="Arial" w:cs="Arial"/>
          <w:b/>
          <w:color w:val="4472C4" w:themeColor="accent1"/>
          <w:sz w:val="20"/>
          <w:szCs w:val="20"/>
        </w:rPr>
        <w:t>-</w:t>
      </w:r>
      <w:r w:rsidR="000120C2" w:rsidRPr="00A06F2C">
        <w:rPr>
          <w:rFonts w:ascii="Arial" w:hAnsi="Arial" w:cs="Arial"/>
          <w:b/>
          <w:color w:val="4472C4" w:themeColor="accent1"/>
          <w:sz w:val="20"/>
          <w:szCs w:val="20"/>
        </w:rPr>
        <w:t>D</w:t>
      </w:r>
      <w:r w:rsidRPr="00A06F2C">
        <w:rPr>
          <w:rFonts w:ascii="Arial" w:hAnsi="Arial" w:cs="Arial"/>
          <w:color w:val="4472C4" w:themeColor="accent1"/>
          <w:sz w:val="20"/>
          <w:szCs w:val="20"/>
        </w:rPr>
        <w:t>) Full set of panels of SST mean trend.</w:t>
      </w:r>
    </w:p>
    <w:p w14:paraId="6F61BEED" w14:textId="7C989876" w:rsidR="00C52AE4" w:rsidRPr="00A06F2C" w:rsidRDefault="00C52AE4" w:rsidP="00C52AE4">
      <w:pPr>
        <w:pStyle w:val="ListParagraph"/>
        <w:numPr>
          <w:ilvl w:val="0"/>
          <w:numId w:val="17"/>
        </w:numPr>
        <w:rPr>
          <w:color w:val="4472C4" w:themeColor="accent1"/>
          <w:sz w:val="20"/>
          <w:szCs w:val="20"/>
        </w:rPr>
      </w:pPr>
      <w:r w:rsidRPr="00A06F2C">
        <w:rPr>
          <w:rFonts w:ascii="Arial" w:hAnsi="Arial" w:cs="Arial"/>
          <w:b/>
          <w:color w:val="4472C4" w:themeColor="accent1"/>
          <w:sz w:val="20"/>
          <w:szCs w:val="20"/>
        </w:rPr>
        <w:t>Fig. S</w:t>
      </w:r>
      <w:r w:rsidR="0060303C" w:rsidRPr="00A06F2C">
        <w:rPr>
          <w:rFonts w:ascii="Arial" w:hAnsi="Arial" w:cs="Arial"/>
          <w:b/>
          <w:color w:val="4472C4" w:themeColor="accent1"/>
          <w:sz w:val="20"/>
          <w:szCs w:val="20"/>
        </w:rPr>
        <w:t>3</w:t>
      </w:r>
      <w:r w:rsidRPr="00A06F2C">
        <w:rPr>
          <w:rFonts w:ascii="Arial" w:hAnsi="Arial" w:cs="Arial"/>
          <w:b/>
          <w:color w:val="4472C4" w:themeColor="accent1"/>
          <w:sz w:val="20"/>
          <w:szCs w:val="20"/>
        </w:rPr>
        <w:t>.</w:t>
      </w:r>
      <w:r w:rsidRPr="00A06F2C">
        <w:rPr>
          <w:rFonts w:ascii="Arial" w:hAnsi="Arial" w:cs="Arial"/>
          <w:color w:val="4472C4" w:themeColor="accent1"/>
          <w:sz w:val="20"/>
          <w:szCs w:val="20"/>
        </w:rPr>
        <w:t xml:space="preserve"> Full set of panels matching </w:t>
      </w:r>
      <w:r w:rsidR="000120C2" w:rsidRPr="00A06F2C">
        <w:rPr>
          <w:rFonts w:ascii="Arial" w:hAnsi="Arial" w:cs="Arial"/>
          <w:color w:val="4472C4" w:themeColor="accent1"/>
          <w:sz w:val="20"/>
          <w:szCs w:val="20"/>
        </w:rPr>
        <w:t>fig</w:t>
      </w:r>
      <w:r w:rsidRPr="00A06F2C">
        <w:rPr>
          <w:rFonts w:ascii="Arial" w:hAnsi="Arial" w:cs="Arial"/>
          <w:color w:val="4472C4" w:themeColor="accent1"/>
          <w:sz w:val="20"/>
          <w:szCs w:val="20"/>
        </w:rPr>
        <w:t>. S3, including also trend in duration.</w:t>
      </w:r>
    </w:p>
    <w:p w14:paraId="51DD18F9" w14:textId="77777777" w:rsidR="00C52AE4" w:rsidRDefault="00C52AE4" w:rsidP="00C52AE4">
      <w:pPr>
        <w:ind w:left="0"/>
      </w:pPr>
    </w:p>
    <w:p w14:paraId="1CA3A436" w14:textId="77777777" w:rsidR="008573F1" w:rsidRDefault="004A10BE" w:rsidP="00AC2069">
      <w:pPr>
        <w:pStyle w:val="Paragraph"/>
        <w:spacing w:before="0"/>
        <w:ind w:firstLine="0"/>
      </w:pPr>
      <w:r w:rsidRPr="008B1FB9">
        <w:rPr>
          <w:b/>
        </w:rPr>
        <w:t>Discussion</w:t>
      </w:r>
      <w:r>
        <w:t xml:space="preserve"> </w:t>
      </w:r>
    </w:p>
    <w:p w14:paraId="4CDF5A99" w14:textId="5873E484" w:rsidR="004A10BE" w:rsidRDefault="005341F3" w:rsidP="00AC2069">
      <w:pPr>
        <w:pStyle w:val="Paragraph"/>
        <w:spacing w:before="0"/>
        <w:ind w:left="720" w:firstLine="0"/>
      </w:pPr>
      <w:r w:rsidRPr="00C97201">
        <w:rPr>
          <w:color w:val="0070C0"/>
        </w:rPr>
        <w:t>Include</w:t>
      </w:r>
      <w:r w:rsidR="008573F1" w:rsidRPr="00C97201">
        <w:rPr>
          <w:color w:val="0070C0"/>
        </w:rPr>
        <w:t xml:space="preserve"> a Discussion </w:t>
      </w:r>
      <w:r w:rsidR="004A10BE" w:rsidRPr="00C97201">
        <w:rPr>
          <w:color w:val="0070C0"/>
        </w:rPr>
        <w:t xml:space="preserve">that summarizes </w:t>
      </w:r>
      <w:r w:rsidR="00B151F8" w:rsidRPr="00C97201">
        <w:rPr>
          <w:color w:val="0070C0"/>
        </w:rPr>
        <w:t xml:space="preserve">(but does not merely repeat) </w:t>
      </w:r>
      <w:r w:rsidR="004A10BE" w:rsidRPr="00C97201">
        <w:rPr>
          <w:color w:val="0070C0"/>
        </w:rPr>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71127318" w14:textId="5D87F311" w:rsidR="00C97201" w:rsidRDefault="00C97201" w:rsidP="00AC2069">
      <w:pPr>
        <w:pStyle w:val="Paragraph"/>
        <w:spacing w:before="0"/>
        <w:ind w:left="720" w:firstLine="0"/>
      </w:pPr>
    </w:p>
    <w:p w14:paraId="744C9640" w14:textId="339D88AD"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r w:rsidR="00F679E5">
        <w:t>O</w:t>
      </w:r>
      <w:r w:rsidRPr="00C97201">
        <w:t xml:space="preserve">ur analysis shows that it is not the WBCs </w:t>
      </w:r>
      <w:r w:rsidR="004E0BEF">
        <w:t xml:space="preserve">themselves </w:t>
      </w:r>
      <w:r w:rsidRPr="00C97201">
        <w:t xml:space="preserve">that manifest </w:t>
      </w:r>
      <w:r w:rsidR="004E0BEF">
        <w:t>MHWs</w:t>
      </w:r>
      <w:r w:rsidRPr="004E0BEF">
        <w:t xml:space="preserve">, </w:t>
      </w:r>
      <w:r w:rsidRPr="004E0BEF">
        <w:rPr>
          <w:iCs/>
        </w:rPr>
        <w:t xml:space="preserve">but rather </w:t>
      </w:r>
      <w:r w:rsidR="000A0CD9">
        <w:rPr>
          <w:iCs/>
        </w:rPr>
        <w:t xml:space="preserve">that cross-frontal exchange </w:t>
      </w:r>
      <w:r w:rsidR="00F679E5">
        <w:rPr>
          <w:iCs/>
        </w:rPr>
        <w:t>due to the jets' meandering into</w:t>
      </w:r>
      <w:r w:rsidR="000A0CD9">
        <w:rPr>
          <w:iCs/>
        </w:rPr>
        <w:t xml:space="preserve"> the</w:t>
      </w:r>
      <w:r w:rsidRPr="004E0BEF">
        <w:rPr>
          <w:iCs/>
        </w:rPr>
        <w:t xml:space="preserve"> climatologically colder regions </w:t>
      </w:r>
      <w:r w:rsidR="004E0BEF">
        <w:rPr>
          <w:iCs/>
        </w:rPr>
        <w:t>opposite the thermal front</w:t>
      </w:r>
      <w:r w:rsidR="00F679E5">
        <w:rPr>
          <w:iCs/>
        </w:rPr>
        <w:t>s</w:t>
      </w:r>
      <w:r w:rsidR="004E0BEF">
        <w:rPr>
          <w:iCs/>
        </w:rPr>
        <w:t xml:space="preserve"> poleward of the </w:t>
      </w:r>
      <w:r w:rsidR="000A0CD9">
        <w:rPr>
          <w:iCs/>
        </w:rPr>
        <w:t>boundary current jets</w:t>
      </w:r>
      <w:r w:rsidR="00F679E5">
        <w:rPr>
          <w:iCs/>
        </w:rPr>
        <w:t xml:space="preserve"> that cause </w:t>
      </w:r>
      <w:r w:rsidR="004E0BEF">
        <w:rPr>
          <w:iCs/>
        </w:rPr>
        <w:t>MHWs</w:t>
      </w:r>
      <w:r w:rsidR="00F679E5">
        <w:rPr>
          <w:iCs/>
        </w:rPr>
        <w:t xml:space="preserve"> to form</w:t>
      </w:r>
      <w:r w:rsidR="00063D23">
        <w:rPr>
          <w:iCs/>
        </w:rPr>
        <w:t xml:space="preserve"> there</w:t>
      </w:r>
      <w:r w:rsidRPr="004E0BEF">
        <w:t>.</w:t>
      </w:r>
    </w:p>
    <w:p w14:paraId="3D913009" w14:textId="77777777" w:rsidR="00EA39BC" w:rsidRPr="004E0BEF" w:rsidRDefault="00EA39BC" w:rsidP="00EA39BC"/>
    <w:p w14:paraId="0D5C549E" w14:textId="48700740" w:rsidR="00773497" w:rsidRDefault="004B065E" w:rsidP="00EA39BC">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evidence suggests that WBCs</w:t>
      </w:r>
      <w:r w:rsidR="00213ACF">
        <w:t xml:space="preserve"> </w:t>
      </w:r>
      <w:r w:rsidR="00C75F48">
        <w:t>are also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A569B6">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26)","previouslyFormattedCitation":"(&lt;i&gt;22&lt;/i&gt;, &lt;i&gt;26&lt;/i&gt;)"},"properties":{"noteIndex":0},"schema":"https://github.com/citation-style-language/schema/raw/master/csl-citation.json"}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 xml:space="preserve">. </w:t>
      </w:r>
      <w:r w:rsidR="00DF6E28">
        <w:t>Our more d</w:t>
      </w:r>
      <w:r w:rsidR="00C06E8D">
        <w:t xml:space="preserve">etailed </w:t>
      </w:r>
      <w:r w:rsidR="00213ACF">
        <w:t xml:space="preserve">analysis </w:t>
      </w:r>
      <w:r w:rsidR="00C06E8D">
        <w:t>of the WBC regions show that</w:t>
      </w:r>
      <w:r w:rsidR="00C75F48">
        <w:t xml:space="preserve"> </w:t>
      </w:r>
      <w:r w:rsidR="00C06E8D">
        <w:t xml:space="preserve">the jets, </w:t>
      </w:r>
      <w:r w:rsidR="00C75F48">
        <w:t xml:space="preserve">eddy fields, and meanders </w:t>
      </w:r>
      <w:r>
        <w:t xml:space="preserve">are </w:t>
      </w:r>
      <w:r w:rsidR="00C75F48">
        <w:t xml:space="preserve">not equal </w:t>
      </w:r>
      <w:r>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rsidR="00DF6E28">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00DF6E28" w:rsidRPr="00213ACF">
        <w:rPr>
          <w:i/>
        </w:rPr>
        <w:t>ca</w:t>
      </w:r>
      <w:r w:rsidR="00DF6E28">
        <w:t>. 5</w:t>
      </w:r>
      <w:r w:rsidR="00DF6E28" w:rsidRPr="00C97201">
        <w:t>°</w:t>
      </w:r>
      <w:r w:rsidR="00A139B9">
        <w:t xml:space="preserve"> south-west of the point of inception of the AC, and </w:t>
      </w:r>
      <w:r w:rsidR="00213ACF" w:rsidRPr="00213ACF">
        <w:rPr>
          <w:i/>
        </w:rPr>
        <w:t>ca</w:t>
      </w:r>
      <w:r w:rsidR="00213ACF">
        <w:t xml:space="preserve">. </w:t>
      </w:r>
      <w:r w:rsidR="003849B9">
        <w:t>5</w:t>
      </w:r>
      <w:r w:rsidR="00DF6E28" w:rsidRPr="00C97201">
        <w:t>°</w:t>
      </w:r>
      <w:r w:rsidR="00DF6E28">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rsidR="00DF6E28">
        <w:t xml:space="preserve">the </w:t>
      </w:r>
      <w:r w:rsidR="003849B9">
        <w:t>high</w:t>
      </w:r>
      <w:r w:rsidR="00DF6E28">
        <w:t>est</w:t>
      </w:r>
      <w:r w:rsidR="003849B9">
        <w:t xml:space="preserve"> rate in mean SST increase </w:t>
      </w:r>
      <w:r w:rsidR="00DF6E28">
        <w:t>is</w:t>
      </w:r>
      <w:r w:rsidR="003849B9">
        <w:t xml:space="preserve"> to the </w:t>
      </w:r>
      <w:r w:rsidR="00DF6E28">
        <w:t xml:space="preserve">east </w:t>
      </w:r>
      <w:r w:rsidR="003849B9">
        <w:t>of the Bass Strait</w:t>
      </w:r>
      <w:r w:rsidR="00DF6E28">
        <w:t>,</w:t>
      </w:r>
      <w:r w:rsidR="003849B9">
        <w:t xml:space="preserve"> and </w:t>
      </w:r>
      <w:r w:rsidR="00925402">
        <w:t>at the point of inception of the northwards flowing retroflection of the BC</w:t>
      </w:r>
      <w:r w:rsidR="003849B9">
        <w:t xml:space="preserve">. </w:t>
      </w:r>
    </w:p>
    <w:p w14:paraId="2F2D0646" w14:textId="77777777" w:rsidR="00773497" w:rsidRDefault="00773497" w:rsidP="00EA39BC"/>
    <w:p w14:paraId="6AE542F4" w14:textId="550A4918" w:rsidR="009D3EFE" w:rsidRDefault="0066594C" w:rsidP="0033176B">
      <w:bookmarkStart w:id="12" w:name="_GoBack"/>
      <w:r>
        <w:t>&lt;</w:t>
      </w:r>
      <w:r w:rsidRPr="007E5D76">
        <w:rPr>
          <w:highlight w:val="yellow"/>
        </w:rPr>
        <w:t>What other mechanisms have been attributed to MHW formation? Integrate below…</w:t>
      </w:r>
      <w:r>
        <w:t>&gt;</w:t>
      </w:r>
      <w:r w:rsidR="00C6322B">
        <w:t xml:space="preserve"> </w:t>
      </w:r>
      <w:r w:rsidR="00127FE1">
        <w:t xml:space="preserve">Marine heatwaves are </w:t>
      </w:r>
      <w:commentRangeStart w:id="13"/>
      <w:r w:rsidR="00127FE1">
        <w:t>generally</w:t>
      </w:r>
      <w:commentRangeEnd w:id="13"/>
      <w:r w:rsidR="00B727D5">
        <w:rPr>
          <w:rStyle w:val="CommentReference"/>
          <w:rFonts w:eastAsia="Times New Roman"/>
        </w:rPr>
        <w:commentReference w:id="13"/>
      </w:r>
      <w:r w:rsidR="00127FE1">
        <w:t xml:space="preserve"> caused by </w:t>
      </w:r>
      <w:r w:rsidR="00A06F40">
        <w:t xml:space="preserve">one of </w:t>
      </w:r>
      <w:r w:rsidR="00127FE1">
        <w:t xml:space="preserve">two processes, </w:t>
      </w:r>
      <w:r w:rsidR="00127FE1" w:rsidRPr="00A06F40">
        <w:rPr>
          <w:i/>
        </w:rPr>
        <w:t>i.e.</w:t>
      </w:r>
      <w:r w:rsidR="00127FE1">
        <w:t xml:space="preserve"> heat transfer from the atmosphere to the ocean surface </w:t>
      </w:r>
      <w:r w:rsidR="00127FE1">
        <w:lastRenderedPageBreak/>
        <w:t xml:space="preserve">layers, or the </w:t>
      </w:r>
      <w:r w:rsidR="0041012D">
        <w:t>horizontal bulk flux</w:t>
      </w:r>
      <w:r w:rsidR="00127FE1">
        <w:t xml:space="preserve"> of warm water into </w:t>
      </w:r>
      <w:r w:rsidR="00B727D5">
        <w:t xml:space="preserve">adjacent colder water mases. </w:t>
      </w:r>
      <w:r w:rsidR="00F058B9">
        <w:t xml:space="preserve">The marine heatwave in the shelf waters of the </w:t>
      </w:r>
      <w:r w:rsidR="00A569B6">
        <w:t>northeast USA</w:t>
      </w:r>
      <w:r w:rsidR="00BB401E">
        <w:t xml:space="preserve"> (</w:t>
      </w:r>
      <w:r w:rsidR="00BB401E" w:rsidRPr="00BB401E">
        <w:rPr>
          <w:rFonts w:ascii="Courier New" w:hAnsi="Courier New" w:cs="Courier New"/>
        </w:rPr>
        <w:t>﻿</w:t>
      </w:r>
      <w:r w:rsidR="00BB401E" w:rsidRPr="00BB401E">
        <w:t>Gulf of Maine and the Middle Atlantic Bight</w:t>
      </w:r>
      <w:r w:rsidR="00BB401E">
        <w:t>)</w:t>
      </w:r>
      <w:r w:rsidR="00F058B9">
        <w:t xml:space="preserve"> in 2012 was caused by</w:t>
      </w:r>
      <w:r w:rsidR="00A569B6">
        <w:t xml:space="preserve"> atmosphere-ocean heat flux </w:t>
      </w:r>
      <w:r w:rsidR="00A569B6">
        <w:fldChar w:fldCharType="begin" w:fldLock="1"/>
      </w:r>
      <w:r w:rsidR="00964D68">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rsidR="00A569B6">
        <w:fldChar w:fldCharType="separate"/>
      </w:r>
      <w:r w:rsidR="00A569B6" w:rsidRPr="00A569B6">
        <w:rPr>
          <w:noProof/>
        </w:rPr>
        <w:t>(</w:t>
      </w:r>
      <w:r w:rsidR="00A569B6" w:rsidRPr="00A569B6">
        <w:rPr>
          <w:i/>
          <w:noProof/>
        </w:rPr>
        <w:t>19</w:t>
      </w:r>
      <w:r w:rsidR="00A569B6" w:rsidRPr="00A569B6">
        <w:rPr>
          <w:noProof/>
        </w:rPr>
        <w:t xml:space="preserve">, </w:t>
      </w:r>
      <w:r w:rsidR="00A569B6" w:rsidRPr="00A569B6">
        <w:rPr>
          <w:i/>
          <w:noProof/>
        </w:rPr>
        <w:t>28</w:t>
      </w:r>
      <w:r w:rsidR="00A569B6" w:rsidRPr="00A569B6">
        <w:rPr>
          <w:noProof/>
        </w:rPr>
        <w:t>)</w:t>
      </w:r>
      <w:r w:rsidR="00A569B6">
        <w:fldChar w:fldCharType="end"/>
      </w:r>
      <w:r w:rsidR="00207AC4">
        <w:t>; similarly, t</w:t>
      </w:r>
      <w:r w:rsidR="00F058B9">
        <w:t xml:space="preserve">he 2003 marine heatwave in the Mediterranean was also caused by heat transfer from the atmosphere </w:t>
      </w:r>
      <w:r w:rsidR="00127FE1">
        <w:t xml:space="preserve">to </w:t>
      </w:r>
      <w:r w:rsidR="00F058B9">
        <w:t xml:space="preserve">the ocean surface layers </w:t>
      </w:r>
      <w:r w:rsidR="00F058B9">
        <w:fldChar w:fldCharType="begin" w:fldLock="1"/>
      </w:r>
      <w:r w:rsidR="00F058B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F058B9">
        <w:fldChar w:fldCharType="separate"/>
      </w:r>
      <w:r w:rsidR="00F058B9" w:rsidRPr="00F058B9">
        <w:rPr>
          <w:noProof/>
        </w:rPr>
        <w:t>(</w:t>
      </w:r>
      <w:r w:rsidR="00F058B9" w:rsidRPr="00F058B9">
        <w:rPr>
          <w:i/>
          <w:noProof/>
        </w:rPr>
        <w:t>14</w:t>
      </w:r>
      <w:r w:rsidR="00F058B9" w:rsidRPr="00F058B9">
        <w:rPr>
          <w:noProof/>
        </w:rPr>
        <w:t>)</w:t>
      </w:r>
      <w:r w:rsidR="00F058B9">
        <w:fldChar w:fldCharType="end"/>
      </w:r>
      <w:r w:rsidR="00F058B9">
        <w:t>.</w:t>
      </w:r>
      <w:r w:rsidR="003F20D7">
        <w:t xml:space="preserve"> The </w:t>
      </w:r>
      <w:r w:rsidR="00F058B9">
        <w:t xml:space="preserve">2011 </w:t>
      </w:r>
      <w:r w:rsidR="003F20D7">
        <w:t xml:space="preserve">'Ningaloo Niño' was caused by </w:t>
      </w:r>
      <w:r w:rsidR="00964D68">
        <w:t xml:space="preserve">an anomalous intensification of the </w:t>
      </w:r>
      <w:proofErr w:type="spellStart"/>
      <w:r w:rsidR="00964D68">
        <w:t>Leeuwin</w:t>
      </w:r>
      <w:proofErr w:type="spellEnd"/>
      <w:r w:rsidR="00964D68">
        <w:t xml:space="preserve"> Current, which brought warm water to the shore of Western Australia </w:t>
      </w:r>
      <w:r w:rsidR="00964D68">
        <w:fldChar w:fldCharType="begin" w:fldLock="1"/>
      </w:r>
      <w:r w:rsidR="00F058B9">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rsidR="00964D68">
        <w:fldChar w:fldCharType="separate"/>
      </w:r>
      <w:r w:rsidR="00964D68" w:rsidRPr="00964D68">
        <w:rPr>
          <w:noProof/>
        </w:rPr>
        <w:t>(</w:t>
      </w:r>
      <w:r w:rsidR="00964D68" w:rsidRPr="00964D68">
        <w:rPr>
          <w:i/>
          <w:noProof/>
        </w:rPr>
        <w:t>16</w:t>
      </w:r>
      <w:r w:rsidR="00964D68" w:rsidRPr="00964D68">
        <w:rPr>
          <w:noProof/>
        </w:rPr>
        <w:t>)</w:t>
      </w:r>
      <w:r w:rsidR="00964D68">
        <w:fldChar w:fldCharType="end"/>
      </w:r>
      <w:r w:rsidR="00964D68">
        <w:t>.</w:t>
      </w:r>
      <w:r w:rsidR="00A06F40">
        <w:t xml:space="preserve"> </w:t>
      </w:r>
      <w:r w:rsidR="009D3EFE">
        <w:t xml:space="preserve">Often </w:t>
      </w:r>
      <w:r w:rsidR="00A06F40">
        <w:t xml:space="preserve">these processes involve </w:t>
      </w:r>
      <w:r w:rsidR="009D3EFE">
        <w:t>teleconnections</w:t>
      </w:r>
      <w:r w:rsidR="00A06F40">
        <w:t xml:space="preserve"> with large-scale climate modes</w:t>
      </w:r>
      <w:r w:rsidR="009D3EFE">
        <w:t xml:space="preserve">… </w:t>
      </w:r>
      <w:r w:rsidR="009D3EFE" w:rsidRPr="00A06F40">
        <w:rPr>
          <w:i/>
        </w:rPr>
        <w:t>e.g.</w:t>
      </w:r>
      <w:r w:rsidR="009D3EFE">
        <w:t xml:space="preserve"> </w:t>
      </w:r>
      <w:r w:rsidR="0033176B">
        <w:t>the 'blob' (</w:t>
      </w:r>
      <w:r w:rsidR="0033176B" w:rsidRPr="0033176B">
        <w:t>North Pacific Gyre Oscillation</w:t>
      </w:r>
      <w:r w:rsidR="0033176B">
        <w:t xml:space="preserve"> (</w:t>
      </w:r>
      <w:r w:rsidR="0033176B" w:rsidRPr="0033176B">
        <w:t>NPGO</w:t>
      </w:r>
      <w:r w:rsidR="0033176B">
        <w:t>)</w:t>
      </w:r>
      <w:r w:rsidR="0033176B" w:rsidRPr="0033176B">
        <w:t xml:space="preserve"> and the Pacific Decadal Oscillation (PDO)</w:t>
      </w:r>
      <w:r w:rsidR="0033176B">
        <w:t xml:space="preserve">; </w:t>
      </w:r>
      <w:r w:rsidR="0033176B" w:rsidRPr="0033176B">
        <w:t>Di Lorenzo</w:t>
      </w:r>
      <w:r w:rsidR="0033176B">
        <w:t xml:space="preserve"> </w:t>
      </w:r>
      <w:r w:rsidR="0033176B" w:rsidRPr="0033176B">
        <w:t xml:space="preserve">and </w:t>
      </w:r>
      <w:r w:rsidR="0033176B">
        <w:t xml:space="preserve"> </w:t>
      </w:r>
      <w:r w:rsidR="0033176B" w:rsidRPr="0033176B">
        <w:t>Mantua 2016</w:t>
      </w:r>
      <w:r w:rsidR="0033176B">
        <w:t>), the Ningaloo Niño (La Nina; Feng et al. 2013)</w:t>
      </w:r>
    </w:p>
    <w:bookmarkEnd w:id="12"/>
    <w:p w14:paraId="60E348B4" w14:textId="77777777" w:rsidR="0066594C" w:rsidRDefault="0066594C" w:rsidP="00EA39BC"/>
    <w:p w14:paraId="766FF9B2" w14:textId="2E5781C5" w:rsidR="00773497" w:rsidRDefault="00773497" w:rsidP="00EA39BC">
      <w:r>
        <w:t>&lt;</w:t>
      </w:r>
      <w:r w:rsidR="0066594C" w:rsidRPr="007E5D76">
        <w:rPr>
          <w:highlight w:val="yellow"/>
        </w:rPr>
        <w:t>T</w:t>
      </w:r>
      <w:r w:rsidRPr="007E5D76">
        <w:rPr>
          <w:highlight w:val="yellow"/>
        </w:rPr>
        <w:t>alk about MKE and centennial SST change; MHWs</w:t>
      </w:r>
      <w:r>
        <w:t>&gt;</w:t>
      </w:r>
    </w:p>
    <w:p w14:paraId="5290F501" w14:textId="7C241188" w:rsidR="004B065E" w:rsidRPr="00C97201" w:rsidRDefault="0066594C" w:rsidP="00EA39BC">
      <w:r>
        <w:t>&lt;</w:t>
      </w:r>
      <w:r w:rsidRPr="007E5D76">
        <w:rPr>
          <w:highlight w:val="yellow"/>
        </w:rPr>
        <w:t>…</w:t>
      </w:r>
      <w:r w:rsidR="004B065E" w:rsidRPr="007E5D76">
        <w:rPr>
          <w:highlight w:val="yellow"/>
        </w:rPr>
        <w:t>Eddy heat flux is generally not important in much of the world's oceans, but it is an important with boundary currents is an important component of global heat flux, unli</w:t>
      </w:r>
      <w:r w:rsidRPr="007E5D76">
        <w:rPr>
          <w:highlight w:val="yellow"/>
        </w:rPr>
        <w:t>ke in most other ocean regions…</w:t>
      </w:r>
      <w:r>
        <w:t>&gt;</w:t>
      </w:r>
    </w:p>
    <w:p w14:paraId="392D165A" w14:textId="77777777" w:rsidR="00C97201" w:rsidRPr="00C97201" w:rsidRDefault="00C97201" w:rsidP="00EA39BC"/>
    <w:p w14:paraId="73ECDF82" w14:textId="22814904" w:rsidR="00C97201" w:rsidRDefault="00C97201" w:rsidP="00EA39BC">
      <w:r w:rsidRPr="00C97201">
        <w:t xml:space="preserve">This </w:t>
      </w:r>
      <w:r w:rsidR="0066594C">
        <w:t>finding results</w:t>
      </w:r>
      <w:r w:rsidRPr="00C97201">
        <w:t xml:space="preserve"> from an analysis of the </w:t>
      </w:r>
      <w:r w:rsidR="003F20D7">
        <w:t xml:space="preserve">non-Gaussian </w:t>
      </w:r>
      <w:r w:rsidRPr="00C97201">
        <w:t>right-hand tail of the extreme temperature value distribution (</w:t>
      </w:r>
      <w:r w:rsidRPr="00C97201">
        <w:rPr>
          <w:i/>
          <w:iCs/>
        </w:rPr>
        <w:t>i.e</w:t>
      </w:r>
      <w:r w:rsidRPr="00A06F40">
        <w:rPr>
          <w:iCs/>
        </w:rPr>
        <w:t>.</w:t>
      </w:r>
      <w:r w:rsidRPr="00C97201">
        <w:t xml:space="preserve"> </w:t>
      </w:r>
      <w:r w:rsidR="003F20D7">
        <w:t xml:space="preserve">with 'extreme' defined as </w:t>
      </w:r>
      <w:r w:rsidRPr="00C97201">
        <w:t xml:space="preserve">≥ 5 consecutive days of temperatures above the 90th percentile relative to the seasonally-varying long-term climatology) of WBC regions. The analysis sheds light on the evolution of the dynamics of heat transport that is associated with the variability or increased variability observed in WBCs. Interannual variability attributed to the EAC has been demonstrated to be responsible for explaining approximately 50% of the interannual variability in the number of MHW days off eastern Tasmania </w:t>
      </w:r>
      <w:r w:rsidR="00F505A3">
        <w:fldChar w:fldCharType="begin" w:fldLock="1"/>
      </w:r>
      <w:r w:rsidR="00964D68">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29&lt;/i&gt;)","plainTextFormattedCitation":"(29)","previouslyFormattedCitation":"(&lt;i&gt;29&lt;/i&gt;)"},"properties":{"noteIndex":0},"schema":"https://github.com/citation-style-language/schema/raw/master/csl-citation.json"}</w:instrText>
      </w:r>
      <w:r w:rsidR="00F505A3">
        <w:fldChar w:fldCharType="separate"/>
      </w:r>
      <w:r w:rsidR="00A569B6" w:rsidRPr="00A569B6">
        <w:rPr>
          <w:noProof/>
        </w:rPr>
        <w:t>(</w:t>
      </w:r>
      <w:r w:rsidR="00A569B6" w:rsidRPr="00A569B6">
        <w:rPr>
          <w:i/>
          <w:noProof/>
        </w:rPr>
        <w:t>29</w:t>
      </w:r>
      <w:r w:rsidR="00A569B6" w:rsidRPr="00A569B6">
        <w:rPr>
          <w:noProof/>
        </w:rPr>
        <w:t>)</w:t>
      </w:r>
      <w:r w:rsidR="00F505A3">
        <w:fldChar w:fldCharType="end"/>
      </w:r>
      <w:r w:rsidRPr="00C97201">
        <w:t>. An increasing variability has been demonstrated for the AC</w:t>
      </w:r>
      <w:r w:rsidR="00F505A3">
        <w:t xml:space="preserve"> </w:t>
      </w:r>
      <w:r w:rsidR="00F505A3">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25</w:t>
      </w:r>
      <w:r w:rsidR="00F505A3" w:rsidRPr="00F505A3">
        <w:rPr>
          <w:noProof/>
        </w:rPr>
        <w:t>)</w:t>
      </w:r>
      <w:r w:rsidR="00F505A3">
        <w:fldChar w:fldCharType="end"/>
      </w:r>
      <w:r w:rsidRPr="00C97201">
        <w:t xml:space="preserve">, and in particular enhanced eddy propagation and in the Agulhas leakage </w:t>
      </w:r>
      <w:r w:rsidR="00F505A3">
        <w:fldChar w:fldCharType="begin" w:fldLock="1"/>
      </w:r>
      <w:r w:rsidR="00964D68">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30&lt;/i&gt;)","plainTextFormattedCitation":"(30)","previouslyFormattedCitation":"(&lt;i&gt;30&lt;/i&gt;)"},"properties":{"noteIndex":0},"schema":"https://github.com/citation-style-language/schema/raw/master/csl-citation.json"}</w:instrText>
      </w:r>
      <w:r w:rsidR="00F505A3">
        <w:fldChar w:fldCharType="separate"/>
      </w:r>
      <w:r w:rsidR="00A569B6" w:rsidRPr="00A569B6">
        <w:rPr>
          <w:noProof/>
        </w:rPr>
        <w:t>(</w:t>
      </w:r>
      <w:r w:rsidR="00A569B6" w:rsidRPr="00A569B6">
        <w:rPr>
          <w:i/>
          <w:noProof/>
        </w:rPr>
        <w:t>30</w:t>
      </w:r>
      <w:r w:rsidR="00A569B6" w:rsidRPr="00A569B6">
        <w:rPr>
          <w:noProof/>
        </w:rPr>
        <w:t>)</w:t>
      </w:r>
      <w:r w:rsidR="00F505A3">
        <w:fldChar w:fldCharType="end"/>
      </w:r>
      <w:r w:rsidRPr="00C97201">
        <w:t xml:space="preserve">. </w:t>
      </w:r>
      <w:r w:rsidR="0066594C">
        <w:t xml:space="preserve">&lt;More about BC, KC, GS&gt;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rsidR="00F505A3">
        <w:fldChar w:fldCharType="begin" w:fldLock="1"/>
      </w:r>
      <w:r w:rsidR="00964D68">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31&lt;/i&gt;)","plainTextFormattedCitation":"(31)","previouslyFormattedCitation":"(&lt;i&gt;31&lt;/i&gt;)"},"properties":{"noteIndex":0},"schema":"https://github.com/citation-style-language/schema/raw/master/csl-citation.json"}</w:instrText>
      </w:r>
      <w:r w:rsidR="00F505A3">
        <w:fldChar w:fldCharType="separate"/>
      </w:r>
      <w:r w:rsidR="00A569B6" w:rsidRPr="00A569B6">
        <w:rPr>
          <w:noProof/>
        </w:rPr>
        <w:t>(</w:t>
      </w:r>
      <w:r w:rsidR="00A569B6" w:rsidRPr="00A569B6">
        <w:rPr>
          <w:i/>
          <w:noProof/>
        </w:rPr>
        <w:t>31</w:t>
      </w:r>
      <w:r w:rsidR="00A569B6" w:rsidRPr="00A569B6">
        <w:rPr>
          <w:noProof/>
        </w:rPr>
        <w:t>)</w:t>
      </w:r>
      <w:r w:rsidR="00F505A3">
        <w:fldChar w:fldCharType="end"/>
      </w:r>
      <w:r w:rsidRPr="00C97201">
        <w:t>.</w:t>
      </w:r>
    </w:p>
    <w:p w14:paraId="22EF6C0E" w14:textId="77777777" w:rsidR="00DB1620" w:rsidRDefault="00DB1620" w:rsidP="00EA39BC"/>
    <w:p w14:paraId="54314630" w14:textId="7DFE6A7C" w:rsidR="00DB1620" w:rsidRPr="00C97201" w:rsidRDefault="00DB1620" w:rsidP="00DB1620">
      <w:commentRangeStart w:id="14"/>
      <w:r w:rsidRPr="00C97201">
        <w:t>All WBCs are responding in similar key ways…</w:t>
      </w:r>
      <w:commentRangeEnd w:id="14"/>
      <w:ins w:id="15" w:author="Unknown Author" w:date="2019-02-27T16:03:00Z">
        <w:r w:rsidRPr="00C97201">
          <w:commentReference w:id="14"/>
        </w:r>
      </w:ins>
      <w:r>
        <w:t xml:space="preserve"> </w:t>
      </w:r>
      <w:r w:rsidRPr="00C97201">
        <w:t xml:space="preserve">Except for the Kuroshio Current, WBCs are </w:t>
      </w:r>
      <w:commentRangeStart w:id="16"/>
      <w:r w:rsidRPr="00C97201">
        <w:t>extending poleward</w:t>
      </w:r>
      <w:commentRangeEnd w:id="16"/>
      <w:r w:rsidRPr="00C97201">
        <w:commentReference w:id="16"/>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17"/>
      <w:r w:rsidRPr="00C97201">
        <w:t xml:space="preserve">increasing mesoscale activities </w:t>
      </w:r>
      <w:commentRangeEnd w:id="17"/>
      <w:r w:rsidRPr="00C97201">
        <w:commentReference w:id="17"/>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p>
    <w:p w14:paraId="7212DC7F" w14:textId="77777777" w:rsidR="0066594C" w:rsidRPr="00C97201" w:rsidRDefault="0066594C" w:rsidP="00DB1620">
      <w:pPr>
        <w:ind w:left="0"/>
      </w:pPr>
    </w:p>
    <w:p w14:paraId="5C20DB83" w14:textId="0B9CA664" w:rsidR="00C97201" w:rsidRPr="00C97201" w:rsidRDefault="00C97201" w:rsidP="00DB1620">
      <w:r w:rsidRPr="00C97201">
        <w:t xml:space="preserve">As yet no </w:t>
      </w:r>
      <w:commentRangeStart w:id="18"/>
      <w:r w:rsidRPr="00C97201">
        <w:t>permanent impact</w:t>
      </w:r>
      <w:commentRangeEnd w:id="18"/>
      <w:r w:rsidRPr="00C97201">
        <w:commentReference w:id="18"/>
      </w:r>
      <w:r w:rsidRPr="00C97201">
        <w:t xml:space="preserve"> on pelagic ecosystems have been reported, raising questions around whether MHWs should be considered a threat to the world’s oceanic ecosystems.</w:t>
      </w:r>
      <w:ins w:id="19" w:author="Unknown Author" w:date="2019-02-27T16:05:00Z">
        <w:r w:rsidRPr="00C97201">
          <w:t xml:space="preserve"> MHWs have </w:t>
        </w:r>
      </w:ins>
      <w:ins w:id="20" w:author="Unknown Author" w:date="2019-02-27T16:06:00Z">
        <w:r w:rsidRPr="00C97201">
          <w:t xml:space="preserve">however been extensively documented to cause damage to coastal ecosystems and so </w:t>
        </w:r>
      </w:ins>
      <w:ins w:id="21" w:author="Unknown Author" w:date="2019-02-27T16:07:00Z">
        <w:r w:rsidRPr="00C97201">
          <w:t>any increase in shoreward meanders of WBCs would be of concern.</w:t>
        </w:r>
      </w:ins>
      <w:r w:rsidR="00DB1620">
        <w:t xml:space="preserve"> </w:t>
      </w:r>
      <w:ins w:id="22" w:author="Unknown Author" w:date="2019-02-27T16:08:00Z">
        <w:r w:rsidR="00DB1620" w:rsidRPr="00C97201">
          <w:t xml:space="preserve">With WBCs warming at an increased rate to the global average, </w:t>
        </w:r>
      </w:ins>
      <w:ins w:id="23" w:author="Unknown Author" w:date="2019-02-27T16:09:00Z">
        <w:r w:rsidR="00DB1620" w:rsidRPr="00C97201">
          <w:t xml:space="preserve">it may be </w:t>
        </w:r>
      </w:ins>
      <w:r w:rsidR="00DB1620" w:rsidRPr="00C97201">
        <w:t>assumed</w:t>
      </w:r>
      <w:ins w:id="24" w:author="Unknown Author" w:date="2019-02-27T16:09:00Z">
        <w:r w:rsidR="00DB1620" w:rsidRPr="00C97201">
          <w:t xml:space="preserve"> that duration and intensity of MHWs in these regions will also increase at a rate greater than the global average.</w:t>
        </w:r>
      </w:ins>
      <w:ins w:id="25" w:author="Unknown Author" w:date="2019-02-27T16:16:00Z">
        <w:r w:rsidR="00DB1620" w:rsidRPr="00C97201">
          <w:t xml:space="preserve"> Due to the high internal variability (</w:t>
        </w:r>
        <w:r w:rsidR="00DB1620" w:rsidRPr="00DB1620">
          <w:rPr>
            <w:i/>
          </w:rPr>
          <w:t>i.e.</w:t>
        </w:r>
        <w:r w:rsidR="00DB1620" w:rsidRPr="00C97201">
          <w:t xml:space="preserve"> high</w:t>
        </w:r>
      </w:ins>
      <w:ins w:id="26" w:author="Unknown Author" w:date="2019-02-27T16:17:00Z">
        <w:r w:rsidR="00DB1620" w:rsidRPr="00C97201">
          <w:t xml:space="preserve"> EKE) normally found within WBCs, </w:t>
        </w:r>
      </w:ins>
      <w:ins w:id="27" w:author="Unknown Author" w:date="2019-02-27T16:18:00Z">
        <w:r w:rsidR="00DB1620" w:rsidRPr="00C97201">
          <w:t>it is likely that any spe</w:t>
        </w:r>
      </w:ins>
      <w:r w:rsidR="00DB1620">
        <w:t>c</w:t>
      </w:r>
      <w:ins w:id="28" w:author="Unknown Author" w:date="2019-02-27T16:18:00Z">
        <w:r w:rsidR="00DB1620" w:rsidRPr="00C97201">
          <w:t xml:space="preserve">ies adapted </w:t>
        </w:r>
      </w:ins>
      <w:ins w:id="29" w:author="Unknown Author" w:date="2019-02-27T16:19:00Z">
        <w:r w:rsidR="00DB1620" w:rsidRPr="00C97201">
          <w:t>to live within this oceanographic feature is not adversely affected by MHWs. The concern is rather for areas with the ‘</w:t>
        </w:r>
      </w:ins>
      <w:ins w:id="30" w:author="Unknown Author" w:date="2019-02-27T16:20:00Z">
        <w:r w:rsidR="00DB1620" w:rsidRPr="00C97201">
          <w:t>meander zone’ of WBCs and whether or not these regions reach into shallower waters where they can adversely affect benthic ecosystems found along the coastline.</w:t>
        </w:r>
      </w:ins>
    </w:p>
    <w:p w14:paraId="73920F39" w14:textId="77777777" w:rsidR="00C97201" w:rsidRPr="00C97201" w:rsidRDefault="00C97201" w:rsidP="00EA39BC"/>
    <w:p w14:paraId="4384CA29" w14:textId="25051A5A" w:rsidR="00C97201" w:rsidRDefault="00DB1620" w:rsidP="007E5D76">
      <w:r>
        <w:t>&lt;</w:t>
      </w:r>
      <w:r w:rsidRPr="007E5D76">
        <w:rPr>
          <w:highlight w:val="yellow"/>
        </w:rPr>
        <w:t>Implications for GCMs? Will they benefit from including the kinds of outputs that MHW metrics might provide?</w:t>
      </w:r>
      <w:r>
        <w:t>&gt;</w:t>
      </w:r>
    </w:p>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w:t>
      </w:r>
      <w:r w:rsidRPr="00EA39BC">
        <w:rPr>
          <w:rFonts w:eastAsia="Times New Roman"/>
          <w:color w:val="0070C0"/>
          <w:sz w:val="24"/>
          <w:szCs w:val="24"/>
          <w:lang w:val="en-US"/>
        </w:rPr>
        <w:lastRenderedPageBreak/>
        <w:t xml:space="preserve">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77777777"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the components of ocean surface geostrophic velocities, and data on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4D81F17E"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the large-scale circulation (</w:t>
      </w:r>
      <w:r w:rsidRPr="00EF16C9">
        <w:rPr>
          <w:i/>
        </w:rPr>
        <w:t>i.e.</w:t>
      </w:r>
      <w:r w:rsidRPr="007418E6">
        <w:t xml:space="preserve"> the quasi-stationary jet represented by the long-term mean MKE); ii) areas where instabilities result in the formation of mesoscale eddies</w:t>
      </w:r>
      <w:r w:rsidR="00EF16C9">
        <w:t xml:space="preserve"> that spin off from the current jets</w:t>
      </w:r>
      <w:r w:rsidRPr="007418E6">
        <w:t xml:space="preserve"> (</w:t>
      </w:r>
      <w:r w:rsidRPr="00EF16C9">
        <w:rPr>
          <w:i/>
        </w:rPr>
        <w:t>i.e.</w:t>
      </w:r>
      <w:r w:rsidRPr="007418E6">
        <w:t xml:space="preserve"> areas where EKE increases); and iii) areas influenced by </w:t>
      </w:r>
      <w:commentRangeStart w:id="31"/>
      <w:r w:rsidRPr="007418E6">
        <w:t>meanders from the WBCs</w:t>
      </w:r>
      <w:commentRangeEnd w:id="31"/>
      <w:r w:rsidR="00EF16C9">
        <w:rPr>
          <w:rStyle w:val="CommentReference"/>
          <w:rFonts w:eastAsia="Times New Roman"/>
        </w:rPr>
        <w:commentReference w:id="31"/>
      </w:r>
      <w:r w:rsidRPr="007418E6">
        <w:t>. MKE and EKE were calculated from the altimeter-derived zonal (</w:t>
      </w:r>
      <w:r w:rsidRPr="00EF16C9">
        <w:rPr>
          <w:i/>
        </w:rPr>
        <w:t>u</w:t>
      </w:r>
      <w:r w:rsidRPr="007418E6">
        <w:t>) and meridional (</w:t>
      </w:r>
      <w:r w:rsidRPr="00EF16C9">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7777777"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w:t>
      </w:r>
      <w:r w:rsidRPr="007418E6">
        <w:lastRenderedPageBreak/>
        <w:t>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77777777" w:rsidR="007418E6" w:rsidRPr="007418E6" w:rsidRDefault="007418E6" w:rsidP="00EA39BC">
      <w:r w:rsidRPr="007418E6">
        <w:t xml:space="preserve">‘Masks’ representing the fields of maximal influence of MKE, EKE (called ‘zones of influence’ henceforth), and mean intensity were made by selecting their respective values ≥ their 90th percentile over the extent of the time series. The MKE masks we interpret as representing the long-term averaged quasi-stationary WBC jets, the EKE masks define the field of maximal mesoscale eddy activity surrounding the jets, and the MHW mean intensity masks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32"/>
      <w:r w:rsidRPr="007418E6">
        <w:t>eddies that occurred during periods of the top three most intense thermal events were tagged</w:t>
      </w:r>
      <w:commentRangeEnd w:id="32"/>
      <w:r w:rsidRPr="007418E6">
        <w:commentReference w:id="32"/>
      </w:r>
      <w:r w:rsidRPr="007418E6">
        <w:t>.</w:t>
      </w:r>
    </w:p>
    <w:p w14:paraId="175E17F1" w14:textId="77777777" w:rsidR="007418E6" w:rsidRPr="007418E6" w:rsidRDefault="007418E6" w:rsidP="00EA39BC"/>
    <w:p w14:paraId="0FC934A6" w14:textId="77777777" w:rsidR="007418E6" w:rsidRPr="007418E6" w:rsidRDefault="007418E6" w:rsidP="00EA39BC">
      <w:r w:rsidRPr="007418E6">
        <w:t>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mask unions. The resultant correlation coefficients (</w:t>
      </w:r>
      <w:r w:rsidRPr="00EE3E28">
        <w:rPr>
          <w:i/>
        </w:rPr>
        <w:t>r</w:t>
      </w:r>
      <w:r w:rsidRPr="007418E6">
        <w:t>) were then represented geographically.</w:t>
      </w:r>
    </w:p>
    <w:p w14:paraId="34F56B58" w14:textId="77777777" w:rsidR="007418E6" w:rsidRPr="007418E6" w:rsidRDefault="007418E6" w:rsidP="00EA39BC"/>
    <w:p w14:paraId="4623DACC" w14:textId="77777777" w:rsidR="007418E6" w:rsidRPr="007418E6" w:rsidRDefault="007418E6" w:rsidP="00EA39BC">
      <w:commentRangeStart w:id="33"/>
      <w:r w:rsidRPr="007418E6">
        <w:t>To assess whether large-scale WBC meanders and rings might transport warm water into the ocean regions flanking the field dominated by high EKE, we created animations of daily geostrophic velocities and the occurrence of MHWs.</w:t>
      </w:r>
      <w:commentRangeEnd w:id="33"/>
      <w:r w:rsidRPr="007418E6">
        <w:commentReference w:id="33"/>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34"/>
      <w:commentRangeStart w:id="35"/>
      <w:commentRangeStart w:id="36"/>
      <w:r w:rsidRPr="007418E6">
        <w:t>These animations</w:t>
      </w:r>
      <w:commentRangeEnd w:id="34"/>
      <w:r w:rsidRPr="007418E6">
        <w:commentReference w:id="34"/>
      </w:r>
      <w:commentRangeEnd w:id="35"/>
      <w:r w:rsidRPr="007418E6">
        <w:commentReference w:id="35"/>
      </w:r>
      <w:r w:rsidRPr="007418E6">
        <w:t xml:space="preserve"> were manually examined for co-occurrences of meanders and thermal events.</w:t>
      </w:r>
      <w:commentRangeEnd w:id="36"/>
      <w:r w:rsidRPr="007418E6">
        <w:commentReference w:id="36"/>
      </w:r>
    </w:p>
    <w:p w14:paraId="688D970E" w14:textId="77777777" w:rsidR="007418E6" w:rsidRPr="007418E6" w:rsidRDefault="007418E6" w:rsidP="00EA39BC"/>
    <w:p w14:paraId="1AE8D0DA" w14:textId="77777777" w:rsidR="007418E6" w:rsidRPr="007418E6" w:rsidRDefault="007418E6" w:rsidP="00EA39BC">
      <w:commentRangeStart w:id="37"/>
      <w:r w:rsidRPr="007418E6">
        <w:t>To quantify the relationship between meanders and MHWs outside of WBCs we looked at the pixels surrounding the pre-determined 90th percentile MKE boundaries. When anomalously strong MKE values were detected in these pixels the occurrence of any MHWs were noted and the duration/intensity were used to calculate the strength of this potential relationship.</w:t>
      </w:r>
      <w:commentRangeEnd w:id="37"/>
      <w:r w:rsidRPr="007418E6">
        <w:commentReference w:id="37"/>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 xml:space="preserve">Include supporting text (including supplementary materials and methods, tables, and figures) at the end of the main manuscript file, in a separate section </w:t>
      </w:r>
      <w:r w:rsidR="00EB3AC7" w:rsidRPr="00EA39BC">
        <w:rPr>
          <w:b w:val="0"/>
          <w:color w:val="0070C0"/>
        </w:rPr>
        <w:lastRenderedPageBreak/>
        <w:t>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such as movies, data, interactive 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1654BDC9" w14:textId="1738E1B2" w:rsidR="00F058B9" w:rsidRPr="00F058B9" w:rsidRDefault="00C75F48" w:rsidP="00F058B9">
      <w:pPr>
        <w:widowControl w:val="0"/>
        <w:autoSpaceDE w:val="0"/>
        <w:autoSpaceDN w:val="0"/>
        <w:adjustRightInd w:val="0"/>
        <w:spacing w:line="240" w:lineRule="auto"/>
        <w:ind w:left="640" w:hanging="640"/>
        <w:rPr>
          <w:noProof/>
          <w:lang w:val="en-US"/>
        </w:rPr>
      </w:pPr>
      <w:r>
        <w:rPr>
          <w:color w:val="000000"/>
        </w:rPr>
        <w:fldChar w:fldCharType="begin" w:fldLock="1"/>
      </w:r>
      <w:r>
        <w:rPr>
          <w:color w:val="000000"/>
        </w:rPr>
        <w:instrText xml:space="preserve">ADDIN Mendeley Bibliography CSL_BIBLIOGRAPHY </w:instrText>
      </w:r>
      <w:r>
        <w:rPr>
          <w:color w:val="000000"/>
        </w:rPr>
        <w:fldChar w:fldCharType="separate"/>
      </w:r>
      <w:r w:rsidR="00F058B9" w:rsidRPr="00F058B9">
        <w:rPr>
          <w:noProof/>
          <w:lang w:val="en-US"/>
        </w:rPr>
        <w:t xml:space="preserve">1. </w:t>
      </w:r>
      <w:r w:rsidR="00F058B9" w:rsidRPr="00F058B9">
        <w:rPr>
          <w:noProof/>
          <w:lang w:val="en-US"/>
        </w:rPr>
        <w:tab/>
        <w:t xml:space="preserve">R. K. Pachauri, </w:t>
      </w:r>
      <w:r w:rsidR="00F058B9" w:rsidRPr="00F058B9">
        <w:rPr>
          <w:i/>
          <w:iCs/>
          <w:noProof/>
          <w:lang w:val="en-US"/>
        </w:rPr>
        <w:t>Climate Change 2014 Synthesis Report</w:t>
      </w:r>
      <w:r w:rsidR="00F058B9" w:rsidRPr="00F058B9">
        <w:rPr>
          <w:noProof/>
          <w:lang w:val="en-US"/>
        </w:rPr>
        <w:t xml:space="preserve"> (2014).</w:t>
      </w:r>
    </w:p>
    <w:p w14:paraId="4C0196D8"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 </w:t>
      </w:r>
      <w:r w:rsidRPr="00F058B9">
        <w:rPr>
          <w:noProof/>
          <w:lang w:val="en-US"/>
        </w:rPr>
        <w:tab/>
        <w:t xml:space="preserve">D. R. Easterling, Climate Extremes: Observations, Modeling, and Impacts. </w:t>
      </w:r>
      <w:r w:rsidRPr="00F058B9">
        <w:rPr>
          <w:i/>
          <w:iCs/>
          <w:noProof/>
          <w:lang w:val="en-US"/>
        </w:rPr>
        <w:t>Science (80-. ).</w:t>
      </w:r>
      <w:r w:rsidRPr="00F058B9">
        <w:rPr>
          <w:noProof/>
          <w:lang w:val="en-US"/>
        </w:rPr>
        <w:t xml:space="preserve"> </w:t>
      </w:r>
      <w:r w:rsidRPr="00F058B9">
        <w:rPr>
          <w:b/>
          <w:bCs/>
          <w:noProof/>
          <w:lang w:val="en-US"/>
        </w:rPr>
        <w:t>289</w:t>
      </w:r>
      <w:r w:rsidRPr="00F058B9">
        <w:rPr>
          <w:noProof/>
          <w:lang w:val="en-US"/>
        </w:rPr>
        <w:t>, 2068–2074 (2000).</w:t>
      </w:r>
    </w:p>
    <w:p w14:paraId="7404B99A"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3. </w:t>
      </w:r>
      <w:r w:rsidRPr="00F058B9">
        <w:rPr>
          <w:noProof/>
          <w:lang w:val="en-US"/>
        </w:rPr>
        <w:tab/>
        <w:t xml:space="preserve">M. E. Shongwe </w:t>
      </w:r>
      <w:r w:rsidRPr="00F058B9">
        <w:rPr>
          <w:i/>
          <w:iCs/>
          <w:noProof/>
          <w:lang w:val="en-US"/>
        </w:rPr>
        <w:t>et al.</w:t>
      </w:r>
      <w:r w:rsidRPr="00F058B9">
        <w:rPr>
          <w:noProof/>
          <w:lang w:val="en-US"/>
        </w:rPr>
        <w:t xml:space="preserve">, Projected Changes in Mean and Extreme Precipitation in Africa under Global Warming. Part I: Southern Africa. </w:t>
      </w:r>
      <w:r w:rsidRPr="00F058B9">
        <w:rPr>
          <w:i/>
          <w:iCs/>
          <w:noProof/>
          <w:lang w:val="en-US"/>
        </w:rPr>
        <w:t>J. Clim.</w:t>
      </w:r>
      <w:r w:rsidRPr="00F058B9">
        <w:rPr>
          <w:noProof/>
          <w:lang w:val="en-US"/>
        </w:rPr>
        <w:t xml:space="preserve"> </w:t>
      </w:r>
      <w:r w:rsidRPr="00F058B9">
        <w:rPr>
          <w:b/>
          <w:bCs/>
          <w:noProof/>
          <w:lang w:val="en-US"/>
        </w:rPr>
        <w:t>22</w:t>
      </w:r>
      <w:r w:rsidRPr="00F058B9">
        <w:rPr>
          <w:noProof/>
          <w:lang w:val="en-US"/>
        </w:rPr>
        <w:t>, 3819–3837 (2009).</w:t>
      </w:r>
    </w:p>
    <w:p w14:paraId="745140A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4. </w:t>
      </w:r>
      <w:r w:rsidRPr="00F058B9">
        <w:rPr>
          <w:noProof/>
          <w:lang w:val="en-US"/>
        </w:rPr>
        <w:tab/>
        <w:t xml:space="preserve">A. Jentsch, J. Kreyling, C. Beierkuhnlein, A new generation of climate-change experiments: events, not trends. </w:t>
      </w:r>
      <w:r w:rsidRPr="00F058B9">
        <w:rPr>
          <w:i/>
          <w:iCs/>
          <w:noProof/>
          <w:lang w:val="en-US"/>
        </w:rPr>
        <w:t>Front. Ecol. Environ.</w:t>
      </w:r>
      <w:r w:rsidRPr="00F058B9">
        <w:rPr>
          <w:noProof/>
          <w:lang w:val="en-US"/>
        </w:rPr>
        <w:t xml:space="preserve"> </w:t>
      </w:r>
      <w:r w:rsidRPr="00F058B9">
        <w:rPr>
          <w:b/>
          <w:bCs/>
          <w:noProof/>
          <w:lang w:val="en-US"/>
        </w:rPr>
        <w:t>5</w:t>
      </w:r>
      <w:r w:rsidRPr="00F058B9">
        <w:rPr>
          <w:noProof/>
          <w:lang w:val="en-US"/>
        </w:rPr>
        <w:t>, 365–374 (2007).</w:t>
      </w:r>
    </w:p>
    <w:p w14:paraId="6C2B373D"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5. </w:t>
      </w:r>
      <w:r w:rsidRPr="00F058B9">
        <w:rPr>
          <w:noProof/>
          <w:lang w:val="en-US"/>
        </w:rPr>
        <w:tab/>
        <w:t xml:space="preserve">T. S. Glickman, W. Zenk, </w:t>
      </w:r>
      <w:r w:rsidRPr="00F058B9">
        <w:rPr>
          <w:i/>
          <w:iCs/>
          <w:noProof/>
          <w:lang w:val="en-US"/>
        </w:rPr>
        <w:t>Glossary of meteorology</w:t>
      </w:r>
      <w:r w:rsidRPr="00F058B9">
        <w:rPr>
          <w:noProof/>
          <w:lang w:val="en-US"/>
        </w:rPr>
        <w:t xml:space="preserve"> (American Meteorological Society, 2000).</w:t>
      </w:r>
    </w:p>
    <w:p w14:paraId="50F30BE1"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6. </w:t>
      </w:r>
      <w:r w:rsidRPr="00F058B9">
        <w:rPr>
          <w:noProof/>
          <w:lang w:val="en-US"/>
        </w:rPr>
        <w:tab/>
        <w:t xml:space="preserve">E. M. Fischer, C. Schär, Consistent geographical patterns of changes in high-impact European heatwaves. </w:t>
      </w:r>
      <w:r w:rsidRPr="00F058B9">
        <w:rPr>
          <w:i/>
          <w:iCs/>
          <w:noProof/>
          <w:lang w:val="en-US"/>
        </w:rPr>
        <w:t>Nat. Geosci.</w:t>
      </w:r>
      <w:r w:rsidRPr="00F058B9">
        <w:rPr>
          <w:noProof/>
          <w:lang w:val="en-US"/>
        </w:rPr>
        <w:t xml:space="preserve"> </w:t>
      </w:r>
      <w:r w:rsidRPr="00F058B9">
        <w:rPr>
          <w:b/>
          <w:bCs/>
          <w:noProof/>
          <w:lang w:val="en-US"/>
        </w:rPr>
        <w:t>3</w:t>
      </w:r>
      <w:r w:rsidRPr="00F058B9">
        <w:rPr>
          <w:noProof/>
          <w:lang w:val="en-US"/>
        </w:rPr>
        <w:t>, 398–403 (2010).</w:t>
      </w:r>
    </w:p>
    <w:p w14:paraId="171BA629"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7. </w:t>
      </w:r>
      <w:r w:rsidRPr="00F058B9">
        <w:rPr>
          <w:noProof/>
          <w:lang w:val="en-US"/>
        </w:rPr>
        <w:tab/>
        <w:t xml:space="preserve">E. M. Fischer, D. M. Lawrence, B. M. Sanderson, Quantifying uncertainties in projections of extremes-a perturbed land surface parameter experiment. </w:t>
      </w:r>
      <w:r w:rsidRPr="00F058B9">
        <w:rPr>
          <w:i/>
          <w:iCs/>
          <w:noProof/>
          <w:lang w:val="en-US"/>
        </w:rPr>
        <w:t>Clim. Dyn.</w:t>
      </w:r>
      <w:r w:rsidRPr="00F058B9">
        <w:rPr>
          <w:noProof/>
          <w:lang w:val="en-US"/>
        </w:rPr>
        <w:t xml:space="preserve"> </w:t>
      </w:r>
      <w:r w:rsidRPr="00F058B9">
        <w:rPr>
          <w:b/>
          <w:bCs/>
          <w:noProof/>
          <w:lang w:val="en-US"/>
        </w:rPr>
        <w:t>37</w:t>
      </w:r>
      <w:r w:rsidRPr="00F058B9">
        <w:rPr>
          <w:noProof/>
          <w:lang w:val="en-US"/>
        </w:rPr>
        <w:t>, 1381–1398 (2011).</w:t>
      </w:r>
    </w:p>
    <w:p w14:paraId="1AC22A32"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8. </w:t>
      </w:r>
      <w:r w:rsidRPr="00F058B9">
        <w:rPr>
          <w:noProof/>
          <w:lang w:val="en-US"/>
        </w:rPr>
        <w:tab/>
        <w:t xml:space="preserve">L. V. Alexander, Global observed long-term changes in temperature and precipitation extremes: A review of progress and limitations in IPCC assessments and beyond. </w:t>
      </w:r>
      <w:r w:rsidRPr="00F058B9">
        <w:rPr>
          <w:i/>
          <w:iCs/>
          <w:noProof/>
          <w:lang w:val="en-US"/>
        </w:rPr>
        <w:t>Weather Clim. Extrem.</w:t>
      </w:r>
      <w:r w:rsidRPr="00F058B9">
        <w:rPr>
          <w:noProof/>
          <w:lang w:val="en-US"/>
        </w:rPr>
        <w:t xml:space="preserve"> </w:t>
      </w:r>
      <w:r w:rsidRPr="00F058B9">
        <w:rPr>
          <w:b/>
          <w:bCs/>
          <w:noProof/>
          <w:lang w:val="en-US"/>
        </w:rPr>
        <w:t>11</w:t>
      </w:r>
      <w:r w:rsidRPr="00F058B9">
        <w:rPr>
          <w:noProof/>
          <w:lang w:val="en-US"/>
        </w:rPr>
        <w:t>, 4–16 (2016).</w:t>
      </w:r>
    </w:p>
    <w:p w14:paraId="25D97597"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9. </w:t>
      </w:r>
      <w:r w:rsidRPr="00F058B9">
        <w:rPr>
          <w:noProof/>
          <w:lang w:val="en-US"/>
        </w:rPr>
        <w:tab/>
        <w:t xml:space="preserve">A. J. Hobday </w:t>
      </w:r>
      <w:r w:rsidRPr="00F058B9">
        <w:rPr>
          <w:i/>
          <w:iCs/>
          <w:noProof/>
          <w:lang w:val="en-US"/>
        </w:rPr>
        <w:t>et al.</w:t>
      </w:r>
      <w:r w:rsidRPr="00F058B9">
        <w:rPr>
          <w:noProof/>
          <w:lang w:val="en-US"/>
        </w:rPr>
        <w:t xml:space="preserve">, A hierarchical approach to defining marine heatwaves. </w:t>
      </w:r>
      <w:r w:rsidRPr="00F058B9">
        <w:rPr>
          <w:i/>
          <w:iCs/>
          <w:noProof/>
          <w:lang w:val="en-US"/>
        </w:rPr>
        <w:t>Prog. Oceanogr.</w:t>
      </w:r>
      <w:r w:rsidRPr="00F058B9">
        <w:rPr>
          <w:noProof/>
          <w:lang w:val="en-US"/>
        </w:rPr>
        <w:t xml:space="preserve"> </w:t>
      </w:r>
      <w:r w:rsidRPr="00F058B9">
        <w:rPr>
          <w:b/>
          <w:bCs/>
          <w:noProof/>
          <w:lang w:val="en-US"/>
        </w:rPr>
        <w:t>141</w:t>
      </w:r>
      <w:r w:rsidRPr="00F058B9">
        <w:rPr>
          <w:noProof/>
          <w:lang w:val="en-US"/>
        </w:rPr>
        <w:t xml:space="preserve">, 227–238 </w:t>
      </w:r>
      <w:r w:rsidRPr="00F058B9">
        <w:rPr>
          <w:noProof/>
          <w:lang w:val="en-US"/>
        </w:rPr>
        <w:lastRenderedPageBreak/>
        <w:t>(2016).</w:t>
      </w:r>
    </w:p>
    <w:p w14:paraId="2280E8E4"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10. </w:t>
      </w:r>
      <w:r w:rsidRPr="00F058B9">
        <w:rPr>
          <w:noProof/>
          <w:lang w:val="en-US"/>
        </w:rPr>
        <w:tab/>
        <w:t xml:space="preserve">A. J. Hobday </w:t>
      </w:r>
      <w:r w:rsidRPr="00F058B9">
        <w:rPr>
          <w:i/>
          <w:iCs/>
          <w:noProof/>
          <w:lang w:val="en-US"/>
        </w:rPr>
        <w:t>et al.</w:t>
      </w:r>
      <w:r w:rsidRPr="00F058B9">
        <w:rPr>
          <w:noProof/>
          <w:lang w:val="en-US"/>
        </w:rPr>
        <w:t xml:space="preserve">, Categorizing and naming marine heatwaves. </w:t>
      </w:r>
      <w:r w:rsidRPr="00F058B9">
        <w:rPr>
          <w:i/>
          <w:iCs/>
          <w:noProof/>
          <w:lang w:val="en-US"/>
        </w:rPr>
        <w:t>Oceanography</w:t>
      </w:r>
      <w:r w:rsidRPr="00F058B9">
        <w:rPr>
          <w:noProof/>
          <w:lang w:val="en-US"/>
        </w:rPr>
        <w:t xml:space="preserve">. </w:t>
      </w:r>
      <w:r w:rsidRPr="00F058B9">
        <w:rPr>
          <w:b/>
          <w:bCs/>
          <w:noProof/>
          <w:lang w:val="en-US"/>
        </w:rPr>
        <w:t>31</w:t>
      </w:r>
      <w:r w:rsidRPr="00F058B9">
        <w:rPr>
          <w:noProof/>
          <w:lang w:val="en-US"/>
        </w:rPr>
        <w:t xml:space="preserve"> (2018) (available at https://doi.org/ 10.5670/oceanog.2018.205.).</w:t>
      </w:r>
    </w:p>
    <w:p w14:paraId="46732DCC"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11. </w:t>
      </w:r>
      <w:r w:rsidRPr="00F058B9">
        <w:rPr>
          <w:noProof/>
          <w:lang w:val="en-US"/>
        </w:rPr>
        <w:tab/>
        <w:t xml:space="preserve">M. DeCastro, M. Gómez-Gesteira, X. Costoya, F. Santos, Upwelling influence on the number of extreme hot SST days along the Canary upwelling ecosystem. </w:t>
      </w:r>
      <w:r w:rsidRPr="00F058B9">
        <w:rPr>
          <w:i/>
          <w:iCs/>
          <w:noProof/>
          <w:lang w:val="en-US"/>
        </w:rPr>
        <w:t>J. Geophys. Res. Ocean.</w:t>
      </w:r>
      <w:r w:rsidRPr="00F058B9">
        <w:rPr>
          <w:noProof/>
          <w:lang w:val="en-US"/>
        </w:rPr>
        <w:t xml:space="preserve"> </w:t>
      </w:r>
      <w:r w:rsidRPr="00F058B9">
        <w:rPr>
          <w:b/>
          <w:bCs/>
          <w:noProof/>
          <w:lang w:val="en-US"/>
        </w:rPr>
        <w:t>119</w:t>
      </w:r>
      <w:r w:rsidRPr="00F058B9">
        <w:rPr>
          <w:noProof/>
          <w:lang w:val="en-US"/>
        </w:rPr>
        <w:t>, 2439–2461 (2014).</w:t>
      </w:r>
    </w:p>
    <w:p w14:paraId="4BB0C313"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12. </w:t>
      </w:r>
      <w:r w:rsidRPr="00F058B9">
        <w:rPr>
          <w:noProof/>
          <w:lang w:val="en-US"/>
        </w:rPr>
        <w:tab/>
        <w:t xml:space="preserve">F. P. Lima, D. S. Wethey, Three decades of high-resolution coastal sea surface temperatures reveal more than warming. </w:t>
      </w:r>
      <w:r w:rsidRPr="00F058B9">
        <w:rPr>
          <w:i/>
          <w:iCs/>
          <w:noProof/>
          <w:lang w:val="en-US"/>
        </w:rPr>
        <w:t>Nat. Commun.</w:t>
      </w:r>
      <w:r w:rsidRPr="00F058B9">
        <w:rPr>
          <w:noProof/>
          <w:lang w:val="en-US"/>
        </w:rPr>
        <w:t xml:space="preserve"> </w:t>
      </w:r>
      <w:r w:rsidRPr="00F058B9">
        <w:rPr>
          <w:b/>
          <w:bCs/>
          <w:noProof/>
          <w:lang w:val="en-US"/>
        </w:rPr>
        <w:t>3</w:t>
      </w:r>
      <w:r w:rsidRPr="00F058B9">
        <w:rPr>
          <w:noProof/>
          <w:lang w:val="en-US"/>
        </w:rPr>
        <w:t>, 1–13 (2012).</w:t>
      </w:r>
    </w:p>
    <w:p w14:paraId="5738932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13. </w:t>
      </w:r>
      <w:r w:rsidRPr="00F058B9">
        <w:rPr>
          <w:noProof/>
          <w:lang w:val="en-US"/>
        </w:rPr>
        <w:tab/>
        <w:t xml:space="preserve">P. Sura, A general perspective of extreme events in weather and climate. </w:t>
      </w:r>
      <w:r w:rsidRPr="00F058B9">
        <w:rPr>
          <w:i/>
          <w:iCs/>
          <w:noProof/>
          <w:lang w:val="en-US"/>
        </w:rPr>
        <w:t>Atmos. Res.</w:t>
      </w:r>
      <w:r w:rsidRPr="00F058B9">
        <w:rPr>
          <w:noProof/>
          <w:lang w:val="en-US"/>
        </w:rPr>
        <w:t xml:space="preserve"> </w:t>
      </w:r>
      <w:r w:rsidRPr="00F058B9">
        <w:rPr>
          <w:b/>
          <w:bCs/>
          <w:noProof/>
          <w:lang w:val="en-US"/>
        </w:rPr>
        <w:t>101</w:t>
      </w:r>
      <w:r w:rsidRPr="00F058B9">
        <w:rPr>
          <w:noProof/>
          <w:lang w:val="en-US"/>
        </w:rPr>
        <w:t>, 1–21 (2011).</w:t>
      </w:r>
    </w:p>
    <w:p w14:paraId="30733F67"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14. </w:t>
      </w:r>
      <w:r w:rsidRPr="00F058B9">
        <w:rPr>
          <w:noProof/>
          <w:lang w:val="en-US"/>
        </w:rPr>
        <w:tab/>
        <w:t xml:space="preserve">J. Garrabou </w:t>
      </w:r>
      <w:r w:rsidRPr="00F058B9">
        <w:rPr>
          <w:i/>
          <w:iCs/>
          <w:noProof/>
          <w:lang w:val="en-US"/>
        </w:rPr>
        <w:t>et al.</w:t>
      </w:r>
      <w:r w:rsidRPr="00F058B9">
        <w:rPr>
          <w:noProof/>
          <w:lang w:val="en-US"/>
        </w:rPr>
        <w:t xml:space="preserve">, Mass mortality in Northwestern Mediterranean rocky benthic communities: effects of the 2003 heat wave. </w:t>
      </w:r>
      <w:r w:rsidRPr="00F058B9">
        <w:rPr>
          <w:i/>
          <w:iCs/>
          <w:noProof/>
          <w:lang w:val="en-US"/>
        </w:rPr>
        <w:t>Glob. Chang. Biol.</w:t>
      </w:r>
      <w:r w:rsidRPr="00F058B9">
        <w:rPr>
          <w:noProof/>
          <w:lang w:val="en-US"/>
        </w:rPr>
        <w:t xml:space="preserve"> </w:t>
      </w:r>
      <w:r w:rsidRPr="00F058B9">
        <w:rPr>
          <w:b/>
          <w:bCs/>
          <w:noProof/>
          <w:lang w:val="en-US"/>
        </w:rPr>
        <w:t>15</w:t>
      </w:r>
      <w:r w:rsidRPr="00F058B9">
        <w:rPr>
          <w:noProof/>
          <w:lang w:val="en-US"/>
        </w:rPr>
        <w:t>, 1090–1103 (2009).</w:t>
      </w:r>
    </w:p>
    <w:p w14:paraId="50541747"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15. </w:t>
      </w:r>
      <w:r w:rsidRPr="00F058B9">
        <w:rPr>
          <w:noProof/>
          <w:lang w:val="en-US"/>
        </w:rPr>
        <w:tab/>
        <w:t xml:space="preserve">A. Olita </w:t>
      </w:r>
      <w:r w:rsidRPr="00F058B9">
        <w:rPr>
          <w:i/>
          <w:iCs/>
          <w:noProof/>
          <w:lang w:val="en-US"/>
        </w:rPr>
        <w:t>et al.</w:t>
      </w:r>
      <w:r w:rsidRPr="00F058B9">
        <w:rPr>
          <w:noProof/>
          <w:lang w:val="en-US"/>
        </w:rPr>
        <w:t xml:space="preserve">, Effects of the 2003 European heatwave on the Central Mediterranean Sea: surface fluxes and the dynamical response. </w:t>
      </w:r>
      <w:r w:rsidRPr="00F058B9">
        <w:rPr>
          <w:i/>
          <w:iCs/>
          <w:noProof/>
          <w:lang w:val="en-US"/>
        </w:rPr>
        <w:t>Ocean Sci.</w:t>
      </w:r>
      <w:r w:rsidRPr="00F058B9">
        <w:rPr>
          <w:noProof/>
          <w:lang w:val="en-US"/>
        </w:rPr>
        <w:t xml:space="preserve"> </w:t>
      </w:r>
      <w:r w:rsidRPr="00F058B9">
        <w:rPr>
          <w:b/>
          <w:bCs/>
          <w:noProof/>
          <w:lang w:val="en-US"/>
        </w:rPr>
        <w:t>3</w:t>
      </w:r>
      <w:r w:rsidRPr="00F058B9">
        <w:rPr>
          <w:noProof/>
          <w:lang w:val="en-US"/>
        </w:rPr>
        <w:t>, 273–289 (2010).</w:t>
      </w:r>
    </w:p>
    <w:p w14:paraId="450DD5DC"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16. </w:t>
      </w:r>
      <w:r w:rsidRPr="00F058B9">
        <w:rPr>
          <w:noProof/>
          <w:lang w:val="en-US"/>
        </w:rPr>
        <w:tab/>
        <w:t xml:space="preserve">M. Feng, M. J. McPhaden, S. P. Xie, J. Hafner, La Niña forces unprecedented Leeuwin Current warming in 2011. </w:t>
      </w:r>
      <w:r w:rsidRPr="00F058B9">
        <w:rPr>
          <w:i/>
          <w:iCs/>
          <w:noProof/>
          <w:lang w:val="en-US"/>
        </w:rPr>
        <w:t>Sci. Rep.</w:t>
      </w:r>
      <w:r w:rsidRPr="00F058B9">
        <w:rPr>
          <w:noProof/>
          <w:lang w:val="en-US"/>
        </w:rPr>
        <w:t xml:space="preserve"> </w:t>
      </w:r>
      <w:r w:rsidRPr="00F058B9">
        <w:rPr>
          <w:b/>
          <w:bCs/>
          <w:noProof/>
          <w:lang w:val="en-US"/>
        </w:rPr>
        <w:t>3</w:t>
      </w:r>
      <w:r w:rsidRPr="00F058B9">
        <w:rPr>
          <w:noProof/>
          <w:lang w:val="en-US"/>
        </w:rPr>
        <w:t>, 1–9 (2013).</w:t>
      </w:r>
    </w:p>
    <w:p w14:paraId="3ED2354F"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17. </w:t>
      </w:r>
      <w:r w:rsidRPr="00F058B9">
        <w:rPr>
          <w:noProof/>
          <w:lang w:val="en-US"/>
        </w:rPr>
        <w:tab/>
        <w:t xml:space="preserve">A. F. Pearce, M. Feng, The rise and fall of the “marine heat wave” off Western Australia during the summer of 2010/2011. </w:t>
      </w:r>
      <w:r w:rsidRPr="00F058B9">
        <w:rPr>
          <w:i/>
          <w:iCs/>
          <w:noProof/>
          <w:lang w:val="en-US"/>
        </w:rPr>
        <w:t>J. Mar. Syst.</w:t>
      </w:r>
      <w:r w:rsidRPr="00F058B9">
        <w:rPr>
          <w:noProof/>
          <w:lang w:val="en-US"/>
        </w:rPr>
        <w:t xml:space="preserve"> </w:t>
      </w:r>
      <w:r w:rsidRPr="00F058B9">
        <w:rPr>
          <w:b/>
          <w:bCs/>
          <w:noProof/>
          <w:lang w:val="en-US"/>
        </w:rPr>
        <w:t>111</w:t>
      </w:r>
      <w:r w:rsidRPr="00F058B9">
        <w:rPr>
          <w:noProof/>
          <w:lang w:val="en-US"/>
        </w:rPr>
        <w:t>–</w:t>
      </w:r>
      <w:r w:rsidRPr="00F058B9">
        <w:rPr>
          <w:b/>
          <w:bCs/>
          <w:noProof/>
          <w:lang w:val="en-US"/>
        </w:rPr>
        <w:t>112</w:t>
      </w:r>
      <w:r w:rsidRPr="00F058B9">
        <w:rPr>
          <w:noProof/>
          <w:lang w:val="en-US"/>
        </w:rPr>
        <w:t>, 139–156 (2013).</w:t>
      </w:r>
    </w:p>
    <w:p w14:paraId="2153F01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18. </w:t>
      </w:r>
      <w:r w:rsidRPr="00F058B9">
        <w:rPr>
          <w:noProof/>
          <w:lang w:val="en-US"/>
        </w:rPr>
        <w:tab/>
        <w:t xml:space="preserve">T. Wernberg </w:t>
      </w:r>
      <w:r w:rsidRPr="00F058B9">
        <w:rPr>
          <w:i/>
          <w:iCs/>
          <w:noProof/>
          <w:lang w:val="en-US"/>
        </w:rPr>
        <w:t>et al.</w:t>
      </w:r>
      <w:r w:rsidRPr="00F058B9">
        <w:rPr>
          <w:noProof/>
          <w:lang w:val="en-US"/>
        </w:rPr>
        <w:t xml:space="preserve">, An extreme climatic event alters marine ecosystem structure in a global biodiversity hotspot. </w:t>
      </w:r>
      <w:r w:rsidRPr="00F058B9">
        <w:rPr>
          <w:i/>
          <w:iCs/>
          <w:noProof/>
          <w:lang w:val="en-US"/>
        </w:rPr>
        <w:t>Nat. Clim. Chang.</w:t>
      </w:r>
      <w:r w:rsidRPr="00F058B9">
        <w:rPr>
          <w:noProof/>
          <w:lang w:val="en-US"/>
        </w:rPr>
        <w:t xml:space="preserve"> </w:t>
      </w:r>
      <w:r w:rsidRPr="00F058B9">
        <w:rPr>
          <w:b/>
          <w:bCs/>
          <w:noProof/>
          <w:lang w:val="en-US"/>
        </w:rPr>
        <w:t>3</w:t>
      </w:r>
      <w:r w:rsidRPr="00F058B9">
        <w:rPr>
          <w:noProof/>
          <w:lang w:val="en-US"/>
        </w:rPr>
        <w:t>, 78–82 (2012).</w:t>
      </w:r>
    </w:p>
    <w:p w14:paraId="2C2F6F43"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19. </w:t>
      </w:r>
      <w:r w:rsidRPr="00F058B9">
        <w:rPr>
          <w:noProof/>
          <w:lang w:val="en-US"/>
        </w:rPr>
        <w:tab/>
        <w:t xml:space="preserve">K. Chen, G. G. Gawarkiewicz, S. J. Lentz, J. M. Bane, Diagnosing the warming of the Northeastern U.S. Coastal Ocean in 2012: A linkage between the atmospheric jet stream variability and ocean response. </w:t>
      </w:r>
      <w:r w:rsidRPr="00F058B9">
        <w:rPr>
          <w:i/>
          <w:iCs/>
          <w:noProof/>
          <w:lang w:val="en-US"/>
        </w:rPr>
        <w:t>J. Geophys. Res. Ocean.</w:t>
      </w:r>
      <w:r w:rsidRPr="00F058B9">
        <w:rPr>
          <w:noProof/>
          <w:lang w:val="en-US"/>
        </w:rPr>
        <w:t xml:space="preserve"> </w:t>
      </w:r>
      <w:r w:rsidRPr="00F058B9">
        <w:rPr>
          <w:b/>
          <w:bCs/>
          <w:noProof/>
          <w:lang w:val="en-US"/>
        </w:rPr>
        <w:t>119</w:t>
      </w:r>
      <w:r w:rsidRPr="00F058B9">
        <w:rPr>
          <w:noProof/>
          <w:lang w:val="en-US"/>
        </w:rPr>
        <w:t>, 218–227 (2014).</w:t>
      </w:r>
    </w:p>
    <w:p w14:paraId="32CC384E"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20. </w:t>
      </w:r>
      <w:r w:rsidRPr="00F058B9">
        <w:rPr>
          <w:noProof/>
          <w:lang w:val="en-US"/>
        </w:rPr>
        <w:tab/>
        <w:t xml:space="preserve">K. E. Mills </w:t>
      </w:r>
      <w:r w:rsidRPr="00F058B9">
        <w:rPr>
          <w:i/>
          <w:iCs/>
          <w:noProof/>
          <w:lang w:val="en-US"/>
        </w:rPr>
        <w:t>et al.</w:t>
      </w:r>
      <w:r w:rsidRPr="00F058B9">
        <w:rPr>
          <w:noProof/>
          <w:lang w:val="en-US"/>
        </w:rPr>
        <w:t xml:space="preserve">, Lessons from the 2012 Ocean Heat Wave in the NorthwestAtlantic. </w:t>
      </w:r>
      <w:r w:rsidRPr="00F058B9">
        <w:rPr>
          <w:i/>
          <w:iCs/>
          <w:noProof/>
          <w:lang w:val="en-US"/>
        </w:rPr>
        <w:t>Oceanography</w:t>
      </w:r>
      <w:r w:rsidRPr="00F058B9">
        <w:rPr>
          <w:noProof/>
          <w:lang w:val="en-US"/>
        </w:rPr>
        <w:t xml:space="preserve">. </w:t>
      </w:r>
      <w:r w:rsidRPr="00F058B9">
        <w:rPr>
          <w:b/>
          <w:bCs/>
          <w:noProof/>
          <w:lang w:val="en-US"/>
        </w:rPr>
        <w:t>26</w:t>
      </w:r>
      <w:r w:rsidRPr="00F058B9">
        <w:rPr>
          <w:noProof/>
          <w:lang w:val="en-US"/>
        </w:rPr>
        <w:t>, 60–64 (2012).</w:t>
      </w:r>
    </w:p>
    <w:p w14:paraId="5F98CF71"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21. </w:t>
      </w:r>
      <w:r w:rsidRPr="00F058B9">
        <w:rPr>
          <w:noProof/>
          <w:lang w:val="en-US"/>
        </w:rPr>
        <w:tab/>
        <w:t xml:space="preserve">N. A. Bond, M. F. Cronin, H. Freeland, N. Mantua, Causes and impacts of the 2014 warm anomaly in the NE Pacific. </w:t>
      </w:r>
      <w:r w:rsidRPr="00F058B9">
        <w:rPr>
          <w:i/>
          <w:iCs/>
          <w:noProof/>
          <w:lang w:val="en-US"/>
        </w:rPr>
        <w:t>Geophys. Res. Lett.</w:t>
      </w:r>
      <w:r w:rsidRPr="00F058B9">
        <w:rPr>
          <w:noProof/>
          <w:lang w:val="en-US"/>
        </w:rPr>
        <w:t xml:space="preserve"> </w:t>
      </w:r>
      <w:r w:rsidRPr="00F058B9">
        <w:rPr>
          <w:b/>
          <w:bCs/>
          <w:noProof/>
          <w:lang w:val="en-US"/>
        </w:rPr>
        <w:t>42</w:t>
      </w:r>
      <w:r w:rsidRPr="00F058B9">
        <w:rPr>
          <w:noProof/>
          <w:lang w:val="en-US"/>
        </w:rPr>
        <w:t>, 3414–3420 (2015).</w:t>
      </w:r>
    </w:p>
    <w:p w14:paraId="045B0A5B"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22. </w:t>
      </w:r>
      <w:r w:rsidRPr="00F058B9">
        <w:rPr>
          <w:noProof/>
          <w:lang w:val="en-US"/>
        </w:rPr>
        <w:tab/>
        <w:t xml:space="preserve">E. C. J. J. Oliver </w:t>
      </w:r>
      <w:r w:rsidRPr="00F058B9">
        <w:rPr>
          <w:i/>
          <w:iCs/>
          <w:noProof/>
          <w:lang w:val="en-US"/>
        </w:rPr>
        <w:t>et al.</w:t>
      </w:r>
      <w:r w:rsidRPr="00F058B9">
        <w:rPr>
          <w:noProof/>
          <w:lang w:val="en-US"/>
        </w:rPr>
        <w:t xml:space="preserve">, Longer and more frequent marine heatwaves over the past century. </w:t>
      </w:r>
      <w:r w:rsidRPr="00F058B9">
        <w:rPr>
          <w:i/>
          <w:iCs/>
          <w:noProof/>
          <w:lang w:val="en-US"/>
        </w:rPr>
        <w:t>Nat. Commun.</w:t>
      </w:r>
      <w:r w:rsidRPr="00F058B9">
        <w:rPr>
          <w:noProof/>
          <w:lang w:val="en-US"/>
        </w:rPr>
        <w:t xml:space="preserve"> </w:t>
      </w:r>
      <w:r w:rsidRPr="00F058B9">
        <w:rPr>
          <w:b/>
          <w:bCs/>
          <w:noProof/>
          <w:lang w:val="en-US"/>
        </w:rPr>
        <w:t>9</w:t>
      </w:r>
      <w:r w:rsidRPr="00F058B9">
        <w:rPr>
          <w:noProof/>
          <w:lang w:val="en-US"/>
        </w:rPr>
        <w:t>, 1324 (2018).</w:t>
      </w:r>
    </w:p>
    <w:p w14:paraId="33A8F28B"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23. </w:t>
      </w:r>
      <w:r w:rsidRPr="00F058B9">
        <w:rPr>
          <w:noProof/>
          <w:lang w:val="en-US"/>
        </w:rPr>
        <w:tab/>
        <w:t xml:space="preserve">M. F. Cronin </w:t>
      </w:r>
      <w:r w:rsidRPr="00F058B9">
        <w:rPr>
          <w:i/>
          <w:iCs/>
          <w:noProof/>
          <w:lang w:val="en-US"/>
        </w:rPr>
        <w:t>et al.</w:t>
      </w:r>
      <w:r w:rsidRPr="00F058B9">
        <w:rPr>
          <w:noProof/>
          <w:lang w:val="en-US"/>
        </w:rPr>
        <w:t xml:space="preserve">, Monitoring ocean-atmosphere interactions in western boundary current extensions. </w:t>
      </w:r>
      <w:r w:rsidRPr="00F058B9">
        <w:rPr>
          <w:i/>
          <w:iCs/>
          <w:noProof/>
          <w:lang w:val="en-US"/>
        </w:rPr>
        <w:t>Proc. the" Ocean. 09 Sustain. Ocean Obs. Inf. Soc. Conf.</w:t>
      </w:r>
      <w:r w:rsidRPr="00F058B9">
        <w:rPr>
          <w:noProof/>
          <w:lang w:val="en-US"/>
        </w:rPr>
        <w:t xml:space="preserve"> </w:t>
      </w:r>
      <w:r w:rsidRPr="00F058B9">
        <w:rPr>
          <w:b/>
          <w:bCs/>
          <w:noProof/>
          <w:lang w:val="en-US"/>
        </w:rPr>
        <w:t>2</w:t>
      </w:r>
      <w:r w:rsidRPr="00F058B9">
        <w:rPr>
          <w:noProof/>
          <w:lang w:val="en-US"/>
        </w:rPr>
        <w:t xml:space="preserve"> (2010), (available at http://faculty.washington.edu/luanne/mypapers/CWP_WBCE_Cronin.pdf).</w:t>
      </w:r>
    </w:p>
    <w:p w14:paraId="736D7BC9"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24. </w:t>
      </w:r>
      <w:r w:rsidRPr="00F058B9">
        <w:rPr>
          <w:noProof/>
          <w:lang w:val="en-US"/>
        </w:rPr>
        <w:tab/>
        <w:t xml:space="preserve">H. Nakamura, T. Sampe, A. Goto, W. Ohfuchi, S. P. Xie, On the importance of midlatitude oceanic frontal zones for the mean state and dominant variability in the tropospheric circulation. </w:t>
      </w:r>
      <w:r w:rsidRPr="00F058B9">
        <w:rPr>
          <w:i/>
          <w:iCs/>
          <w:noProof/>
          <w:lang w:val="en-US"/>
        </w:rPr>
        <w:t>Geophys. Res. Lett.</w:t>
      </w:r>
      <w:r w:rsidRPr="00F058B9">
        <w:rPr>
          <w:noProof/>
          <w:lang w:val="en-US"/>
        </w:rPr>
        <w:t xml:space="preserve"> </w:t>
      </w:r>
      <w:r w:rsidRPr="00F058B9">
        <w:rPr>
          <w:b/>
          <w:bCs/>
          <w:noProof/>
          <w:lang w:val="en-US"/>
        </w:rPr>
        <w:t>35</w:t>
      </w:r>
      <w:r w:rsidRPr="00F058B9">
        <w:rPr>
          <w:noProof/>
          <w:lang w:val="en-US"/>
        </w:rPr>
        <w:t>, 1–5 (2008).</w:t>
      </w:r>
    </w:p>
    <w:p w14:paraId="4A32BE30"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25. </w:t>
      </w:r>
      <w:r w:rsidRPr="00F058B9">
        <w:rPr>
          <w:noProof/>
          <w:lang w:val="en-US"/>
        </w:rPr>
        <w:tab/>
        <w:t xml:space="preserve">L. M. Beal, S. Elipot, Broadening not strengthening of the Agulhas Current since the early 1990s. </w:t>
      </w:r>
      <w:r w:rsidRPr="00F058B9">
        <w:rPr>
          <w:i/>
          <w:iCs/>
          <w:noProof/>
          <w:lang w:val="en-US"/>
        </w:rPr>
        <w:t>Nature</w:t>
      </w:r>
      <w:r w:rsidRPr="00F058B9">
        <w:rPr>
          <w:noProof/>
          <w:lang w:val="en-US"/>
        </w:rPr>
        <w:t xml:space="preserve">. </w:t>
      </w:r>
      <w:r w:rsidRPr="00F058B9">
        <w:rPr>
          <w:b/>
          <w:bCs/>
          <w:noProof/>
          <w:lang w:val="en-US"/>
        </w:rPr>
        <w:t>540</w:t>
      </w:r>
      <w:r w:rsidRPr="00F058B9">
        <w:rPr>
          <w:noProof/>
          <w:lang w:val="en-US"/>
        </w:rPr>
        <w:t>, 570–573 (2016).</w:t>
      </w:r>
    </w:p>
    <w:p w14:paraId="17B70E22"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26. </w:t>
      </w:r>
      <w:r w:rsidRPr="00F058B9">
        <w:rPr>
          <w:noProof/>
          <w:lang w:val="en-US"/>
        </w:rPr>
        <w:tab/>
        <w:t xml:space="preserve">L. Wu </w:t>
      </w:r>
      <w:r w:rsidRPr="00F058B9">
        <w:rPr>
          <w:i/>
          <w:iCs/>
          <w:noProof/>
          <w:lang w:val="en-US"/>
        </w:rPr>
        <w:t>et al.</w:t>
      </w:r>
      <w:r w:rsidRPr="00F058B9">
        <w:rPr>
          <w:noProof/>
          <w:lang w:val="en-US"/>
        </w:rPr>
        <w:t xml:space="preserve">, Enhanced warming over the global subtropical western boundary currents. </w:t>
      </w:r>
      <w:r w:rsidRPr="00F058B9">
        <w:rPr>
          <w:i/>
          <w:iCs/>
          <w:noProof/>
          <w:lang w:val="en-US"/>
        </w:rPr>
        <w:t>Nat. Clim. Chang.</w:t>
      </w:r>
      <w:r w:rsidRPr="00F058B9">
        <w:rPr>
          <w:noProof/>
          <w:lang w:val="en-US"/>
        </w:rPr>
        <w:t xml:space="preserve"> </w:t>
      </w:r>
      <w:r w:rsidRPr="00F058B9">
        <w:rPr>
          <w:b/>
          <w:bCs/>
          <w:noProof/>
          <w:lang w:val="en-US"/>
        </w:rPr>
        <w:t>2</w:t>
      </w:r>
      <w:r w:rsidRPr="00F058B9">
        <w:rPr>
          <w:noProof/>
          <w:lang w:val="en-US"/>
        </w:rPr>
        <w:t>, 161–166 (2012).</w:t>
      </w:r>
    </w:p>
    <w:p w14:paraId="64A5E7E5"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27. </w:t>
      </w:r>
      <w:r w:rsidRPr="00F058B9">
        <w:rPr>
          <w:noProof/>
          <w:lang w:val="en-US"/>
        </w:rPr>
        <w:tab/>
        <w:t xml:space="preserve">S. R. Jayne, J. Marotzke, The Oceanic Eddy Heat Transport*. </w:t>
      </w:r>
      <w:r w:rsidRPr="00F058B9">
        <w:rPr>
          <w:i/>
          <w:iCs/>
          <w:noProof/>
          <w:lang w:val="en-US"/>
        </w:rPr>
        <w:t>J. Phys. Oceanogr.</w:t>
      </w:r>
      <w:r w:rsidRPr="00F058B9">
        <w:rPr>
          <w:noProof/>
          <w:lang w:val="en-US"/>
        </w:rPr>
        <w:t xml:space="preserve"> </w:t>
      </w:r>
      <w:r w:rsidRPr="00F058B9">
        <w:rPr>
          <w:b/>
          <w:bCs/>
          <w:noProof/>
          <w:lang w:val="en-US"/>
        </w:rPr>
        <w:t>32</w:t>
      </w:r>
      <w:r w:rsidRPr="00F058B9">
        <w:rPr>
          <w:noProof/>
          <w:lang w:val="en-US"/>
        </w:rPr>
        <w:t>, 3328–3345 (2002).</w:t>
      </w:r>
    </w:p>
    <w:p w14:paraId="4BBE2936"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28. </w:t>
      </w:r>
      <w:r w:rsidRPr="00F058B9">
        <w:rPr>
          <w:noProof/>
          <w:lang w:val="en-US"/>
        </w:rPr>
        <w:tab/>
        <w:t xml:space="preserve">K. Chen, G. Gawarkiewicz, Y.-O. Kwon, W. G. Zhang, The role of atmospheric forcing versus ocean advection during the extreme warming of the Northeast U.S. continental shelf in 2012. </w:t>
      </w:r>
      <w:r w:rsidRPr="00F058B9">
        <w:rPr>
          <w:i/>
          <w:iCs/>
          <w:noProof/>
          <w:lang w:val="en-US"/>
        </w:rPr>
        <w:t>Oceanography</w:t>
      </w:r>
      <w:r w:rsidRPr="00F058B9">
        <w:rPr>
          <w:noProof/>
          <w:lang w:val="en-US"/>
        </w:rPr>
        <w:t xml:space="preserve">. </w:t>
      </w:r>
      <w:r w:rsidRPr="00F058B9">
        <w:rPr>
          <w:b/>
          <w:bCs/>
          <w:noProof/>
          <w:lang w:val="en-US"/>
        </w:rPr>
        <w:t>26</w:t>
      </w:r>
      <w:r w:rsidRPr="00F058B9">
        <w:rPr>
          <w:noProof/>
          <w:lang w:val="en-US"/>
        </w:rPr>
        <w:t>, 4324–4339 (2013).</w:t>
      </w:r>
    </w:p>
    <w:p w14:paraId="593FE178"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29. </w:t>
      </w:r>
      <w:r w:rsidRPr="00F058B9">
        <w:rPr>
          <w:noProof/>
          <w:lang w:val="en-US"/>
        </w:rPr>
        <w:tab/>
        <w:t xml:space="preserve">E. C. J. Oliver </w:t>
      </w:r>
      <w:r w:rsidRPr="00F058B9">
        <w:rPr>
          <w:i/>
          <w:iCs/>
          <w:noProof/>
          <w:lang w:val="en-US"/>
        </w:rPr>
        <w:t>et al.</w:t>
      </w:r>
      <w:r w:rsidRPr="00F058B9">
        <w:rPr>
          <w:noProof/>
          <w:lang w:val="en-US"/>
        </w:rPr>
        <w:t xml:space="preserve">, Marine heatwaves off eastern Tasmania: Trends, interannual variability, and predictability. </w:t>
      </w:r>
      <w:r w:rsidRPr="00F058B9">
        <w:rPr>
          <w:i/>
          <w:iCs/>
          <w:noProof/>
          <w:lang w:val="en-US"/>
        </w:rPr>
        <w:t>Prog. Oceanogr.</w:t>
      </w:r>
      <w:r w:rsidRPr="00F058B9">
        <w:rPr>
          <w:noProof/>
          <w:lang w:val="en-US"/>
        </w:rPr>
        <w:t xml:space="preserve"> </w:t>
      </w:r>
      <w:r w:rsidRPr="00F058B9">
        <w:rPr>
          <w:b/>
          <w:bCs/>
          <w:noProof/>
          <w:lang w:val="en-US"/>
        </w:rPr>
        <w:t>161</w:t>
      </w:r>
      <w:r w:rsidRPr="00F058B9">
        <w:rPr>
          <w:noProof/>
          <w:lang w:val="en-US"/>
        </w:rPr>
        <w:t>, 116–130 (2018).</w:t>
      </w:r>
    </w:p>
    <w:p w14:paraId="02B9A52B" w14:textId="77777777" w:rsidR="00F058B9" w:rsidRPr="00F058B9" w:rsidRDefault="00F058B9" w:rsidP="00F058B9">
      <w:pPr>
        <w:widowControl w:val="0"/>
        <w:autoSpaceDE w:val="0"/>
        <w:autoSpaceDN w:val="0"/>
        <w:adjustRightInd w:val="0"/>
        <w:spacing w:line="240" w:lineRule="auto"/>
        <w:ind w:left="640" w:hanging="640"/>
        <w:rPr>
          <w:noProof/>
          <w:lang w:val="en-US"/>
        </w:rPr>
      </w:pPr>
      <w:r w:rsidRPr="00F058B9">
        <w:rPr>
          <w:noProof/>
          <w:lang w:val="en-US"/>
        </w:rPr>
        <w:t xml:space="preserve">30. </w:t>
      </w:r>
      <w:r w:rsidRPr="00F058B9">
        <w:rPr>
          <w:noProof/>
          <w:lang w:val="en-US"/>
        </w:rPr>
        <w:tab/>
        <w:t xml:space="preserve">B. C. Backeberg, P. Penven, M. Rouault, Impact of intensified Indian Ocean winds on mesoscale variability in the Agulhas system. </w:t>
      </w:r>
      <w:r w:rsidRPr="00F058B9">
        <w:rPr>
          <w:i/>
          <w:iCs/>
          <w:noProof/>
          <w:lang w:val="en-US"/>
        </w:rPr>
        <w:t>Nat. Clim. Chang.</w:t>
      </w:r>
      <w:r w:rsidRPr="00F058B9">
        <w:rPr>
          <w:noProof/>
          <w:lang w:val="en-US"/>
        </w:rPr>
        <w:t xml:space="preserve"> </w:t>
      </w:r>
      <w:r w:rsidRPr="00F058B9">
        <w:rPr>
          <w:b/>
          <w:bCs/>
          <w:noProof/>
          <w:lang w:val="en-US"/>
        </w:rPr>
        <w:t>2</w:t>
      </w:r>
      <w:r w:rsidRPr="00F058B9">
        <w:rPr>
          <w:noProof/>
          <w:lang w:val="en-US"/>
        </w:rPr>
        <w:t>, 608–612 (2012).</w:t>
      </w:r>
    </w:p>
    <w:p w14:paraId="27021DAB" w14:textId="77777777" w:rsidR="00F058B9" w:rsidRPr="00F058B9" w:rsidRDefault="00F058B9" w:rsidP="00F058B9">
      <w:pPr>
        <w:widowControl w:val="0"/>
        <w:autoSpaceDE w:val="0"/>
        <w:autoSpaceDN w:val="0"/>
        <w:adjustRightInd w:val="0"/>
        <w:spacing w:line="240" w:lineRule="auto"/>
        <w:ind w:left="640" w:hanging="640"/>
        <w:rPr>
          <w:noProof/>
        </w:rPr>
      </w:pPr>
      <w:r w:rsidRPr="00F058B9">
        <w:rPr>
          <w:noProof/>
          <w:lang w:val="en-US"/>
        </w:rPr>
        <w:t xml:space="preserve">31. </w:t>
      </w:r>
      <w:r w:rsidRPr="00F058B9">
        <w:rPr>
          <w:noProof/>
          <w:lang w:val="en-US"/>
        </w:rPr>
        <w:tab/>
        <w:t xml:space="preserve">B. Pohl, B. Dieppois, J. Crétat, D. Lawler, M. Rouault, From synoptic to interdecadal variability in southern African rainfall: Toward a unified view across time scales. </w:t>
      </w:r>
      <w:r w:rsidRPr="00F058B9">
        <w:rPr>
          <w:i/>
          <w:iCs/>
          <w:noProof/>
          <w:lang w:val="en-US"/>
        </w:rPr>
        <w:t>J. Clim.</w:t>
      </w:r>
      <w:r w:rsidRPr="00F058B9">
        <w:rPr>
          <w:noProof/>
          <w:lang w:val="en-US"/>
        </w:rPr>
        <w:t xml:space="preserve"> </w:t>
      </w:r>
      <w:r w:rsidRPr="00F058B9">
        <w:rPr>
          <w:b/>
          <w:bCs/>
          <w:noProof/>
          <w:lang w:val="en-US"/>
        </w:rPr>
        <w:t>31</w:t>
      </w:r>
      <w:r w:rsidRPr="00F058B9">
        <w:rPr>
          <w:noProof/>
          <w:lang w:val="en-US"/>
        </w:rPr>
        <w:t>, 5845–5872 (2018).</w:t>
      </w:r>
    </w:p>
    <w:p w14:paraId="3A642971" w14:textId="3790783D" w:rsidR="00C75F48" w:rsidRDefault="00C75F48" w:rsidP="00F058B9">
      <w:pPr>
        <w:widowControl w:val="0"/>
        <w:autoSpaceDE w:val="0"/>
        <w:autoSpaceDN w:val="0"/>
        <w:adjustRightInd w:val="0"/>
        <w:spacing w:line="240" w:lineRule="auto"/>
        <w:ind w:left="640" w:hanging="640"/>
      </w:pPr>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4-04T08:35:00Z" w:initials="Office">
    <w:p w14:paraId="52C67422" w14:textId="213694CF" w:rsidR="00AE3FCA" w:rsidRDefault="00AE3FCA">
      <w:pPr>
        <w:pStyle w:val="CommentText"/>
      </w:pPr>
      <w:r>
        <w:rPr>
          <w:rStyle w:val="CommentReference"/>
        </w:rPr>
        <w:annotationRef/>
      </w:r>
      <w:r>
        <w:t>This probably needs to be made more specific to MHWs.</w:t>
      </w:r>
      <w:r>
        <w:tab/>
      </w:r>
    </w:p>
  </w:comment>
  <w:comment w:id="1" w:author="AJ Smit" w:date="2019-04-10T13:25:00Z" w:initials="Office">
    <w:p w14:paraId="655F3621" w14:textId="5A1889C9" w:rsidR="00AE3FCA" w:rsidRDefault="00AE3FCA" w:rsidP="00BB401E">
      <w:pPr>
        <w:pStyle w:val="CommentText"/>
        <w:ind w:left="0"/>
      </w:pPr>
      <w:r>
        <w:rPr>
          <w:rStyle w:val="CommentReference"/>
        </w:rPr>
        <w:annotationRef/>
      </w:r>
      <w:r>
        <w:t>Enough?</w:t>
      </w:r>
    </w:p>
  </w:comment>
  <w:comment w:id="3" w:author="Anthony J. Richardson" w:date="2019-03-21T06:34:00Z" w:initials="AJR">
    <w:p w14:paraId="389A9D55" w14:textId="49B61AD1" w:rsidR="00AE3FCA" w:rsidRDefault="00AE3FCA" w:rsidP="00EC739B">
      <w:pPr>
        <w:pStyle w:val="CommentText"/>
        <w:ind w:left="0"/>
      </w:pPr>
      <w:r>
        <w:rPr>
          <w:rStyle w:val="CommentReference"/>
        </w:rPr>
        <w:annotationRef/>
      </w:r>
      <w:r>
        <w:t>Responding to what? If it’s to climate change, then starting the next paragraph with that would be good</w:t>
      </w:r>
    </w:p>
  </w:comment>
  <w:comment w:id="4" w:author="AJ Smit" w:date="2019-02-18T18:19:00Z" w:initials="Office">
    <w:p w14:paraId="1E92A437" w14:textId="77777777" w:rsidR="00AE3FCA" w:rsidRDefault="00AE3FCA" w:rsidP="00EC739B">
      <w:pPr>
        <w:pStyle w:val="CommentText"/>
        <w:ind w:left="0"/>
      </w:pPr>
      <w:r>
        <w:rPr>
          <w:rStyle w:val="CommentReference"/>
        </w:rPr>
        <w:annotationRef/>
      </w:r>
      <w:r>
        <w:t>Is this change associated with an increase in ‘MHWs’?</w:t>
      </w:r>
    </w:p>
  </w:comment>
  <w:comment w:id="5" w:author="AJ Smit" w:date="2019-04-05T15:08:00Z" w:initials="Office">
    <w:p w14:paraId="1B47FC66" w14:textId="5746DA5B" w:rsidR="00AE3FCA" w:rsidRDefault="00AE3FCA" w:rsidP="00EC739B">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6" w:author="AJ Smit" w:date="2019-04-01T09:41:00Z" w:initials="AJS">
    <w:p w14:paraId="42A6E26F" w14:textId="72ECD2A9" w:rsidR="00AE3FCA" w:rsidRDefault="00AE3FCA" w:rsidP="00EA39BC">
      <w:pPr>
        <w:pStyle w:val="CommentText"/>
      </w:pPr>
      <w:r>
        <w:rPr>
          <w:rStyle w:val="CommentReference"/>
        </w:rPr>
        <w:annotationRef/>
      </w:r>
      <w:r>
        <w:t>How?</w:t>
      </w:r>
    </w:p>
  </w:comment>
  <w:comment w:id="13" w:author="AJ Smit" w:date="2019-04-11T09:01:00Z" w:initials="Office">
    <w:p w14:paraId="26D16548" w14:textId="6CA5C13C" w:rsidR="00AE3FCA" w:rsidRDefault="00AE3FCA" w:rsidP="00B727D5">
      <w:pPr>
        <w:pStyle w:val="CommentText"/>
        <w:ind w:left="0"/>
      </w:pPr>
      <w:r>
        <w:rPr>
          <w:rStyle w:val="CommentReference"/>
        </w:rPr>
        <w:annotationRef/>
      </w:r>
      <w:r>
        <w:t>Is this generalisation true?</w:t>
      </w:r>
    </w:p>
  </w:comment>
  <w:comment w:id="14" w:author="Unknown Author" w:date="2019-02-27T16:03:00Z" w:initials="">
    <w:p w14:paraId="10CDFC16" w14:textId="77777777" w:rsidR="00AE3FCA" w:rsidRDefault="00AE3FCA" w:rsidP="00DB1620">
      <w:r>
        <w:t xml:space="preserve">Is the Brazil Current responding the same? </w:t>
      </w:r>
    </w:p>
  </w:comment>
  <w:comment w:id="16" w:author="David Schoeman" w:date="2019-02-23T09:00:00Z" w:initials="DS">
    <w:p w14:paraId="015E8532" w14:textId="068183AF" w:rsidR="00AE3FCA" w:rsidRDefault="00AE3FCA" w:rsidP="00DB1620">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17" w:author="AJ Smit" w:date="2019-02-18T18:19:00Z" w:initials="Office">
    <w:p w14:paraId="222875E7" w14:textId="77777777" w:rsidR="00AE3FCA" w:rsidRDefault="00AE3FCA" w:rsidP="00DB1620">
      <w:r>
        <w:rPr>
          <w:lang w:bidi="en-US"/>
        </w:rPr>
        <w:t>Is this change associated with an increase in ‘MHWs’?</w:t>
      </w:r>
    </w:p>
  </w:comment>
  <w:comment w:id="18" w:author="Unknown Author" w:date="2019-02-27T16:05:00Z" w:initials="">
    <w:p w14:paraId="0FDABB53" w14:textId="77777777" w:rsidR="00AE3FCA" w:rsidRDefault="00AE3FCA" w:rsidP="00EA39BC">
      <w:r>
        <w:t>But what does permanent mean on the time scale of a human life/research career? The 2011 Western Australia event seems to have “permanently” changed the coastal ecosystem.</w:t>
      </w:r>
    </w:p>
  </w:comment>
  <w:comment w:id="31" w:author="AJ Smit" w:date="2019-04-11T09:40:00Z" w:initials="Office">
    <w:p w14:paraId="53BCA0A2" w14:textId="7367902C" w:rsidR="00AE3FCA" w:rsidRPr="00EF16C9" w:rsidRDefault="00AE3FCA" w:rsidP="00EF16C9">
      <w:pPr>
        <w:pStyle w:val="NormalWeb"/>
        <w:ind w:left="0"/>
        <w:rPr>
          <w:rFonts w:eastAsia="Times New Roman"/>
        </w:rPr>
      </w:pPr>
      <w:r>
        <w:rPr>
          <w:rStyle w:val="CommentReference"/>
        </w:rPr>
        <w:annotationRef/>
      </w:r>
      <w:r>
        <w:t xml:space="preserve">"large anticyclonic meander eddies" </w:t>
      </w:r>
      <w:proofErr w:type="spellStart"/>
      <w:r w:rsidRPr="00EF16C9">
        <w:rPr>
          <w:i/>
        </w:rPr>
        <w:t>sensu</w:t>
      </w:r>
      <w:proofErr w:type="spellEnd"/>
      <w:r>
        <w:rPr>
          <w:rFonts w:eastAsia="Times New Roman"/>
        </w:rPr>
        <w:t xml:space="preserve"> </w:t>
      </w:r>
      <w:r w:rsidRPr="00EF16C9">
        <w:rPr>
          <w:rFonts w:eastAsia="Times New Roman"/>
        </w:rPr>
        <w:t xml:space="preserve">G. S. </w:t>
      </w:r>
      <w:proofErr w:type="spellStart"/>
      <w:r w:rsidRPr="00EF16C9">
        <w:rPr>
          <w:rFonts w:eastAsia="Times New Roman"/>
        </w:rPr>
        <w:t>Pilo</w:t>
      </w:r>
      <w:proofErr w:type="spellEnd"/>
      <w:r w:rsidRPr="00EF16C9">
        <w:rPr>
          <w:rFonts w:eastAsia="Times New Roman"/>
        </w:rPr>
        <w:t xml:space="preserve">, M. M. Mata, J. L. L. Azevedo, Eddy surface properties and propagation at Southern Hemisphere. </w:t>
      </w:r>
      <w:r w:rsidRPr="00EF16C9">
        <w:rPr>
          <w:rFonts w:eastAsia="Times New Roman"/>
          <w:i/>
          <w:iCs/>
        </w:rPr>
        <w:t>Ocean Sci.</w:t>
      </w:r>
      <w:r w:rsidRPr="00EF16C9">
        <w:rPr>
          <w:rFonts w:eastAsia="Times New Roman"/>
        </w:rPr>
        <w:t>, 629–641 (2015).</w:t>
      </w:r>
    </w:p>
  </w:comment>
  <w:comment w:id="32" w:author="AJ Smit" w:date="2019-03-02T20:42:00Z" w:initials="Office">
    <w:p w14:paraId="0C29FA6B" w14:textId="77777777" w:rsidR="00AE3FCA" w:rsidRDefault="00AE3FCA" w:rsidP="00EA39BC">
      <w:pPr>
        <w:pStyle w:val="CommentText"/>
      </w:pPr>
      <w:r>
        <w:rPr>
          <w:rStyle w:val="CommentReference"/>
        </w:rPr>
        <w:annotationRef/>
      </w:r>
      <w:r>
        <w:t>Recalculate these from the data within the MHW masks.</w:t>
      </w:r>
    </w:p>
  </w:comment>
  <w:comment w:id="33" w:author="Anthony J. Richardson" w:date="2019-02-21T17:32:00Z" w:initials="AJR">
    <w:p w14:paraId="41788CD9" w14:textId="77777777" w:rsidR="00AE3FCA" w:rsidRDefault="00AE3FCA" w:rsidP="00EA39BC">
      <w:r>
        <w:rPr>
          <w:lang w:val="en-US" w:bidi="en-US"/>
        </w:rPr>
        <w:t>I think each of your MKE, EKE and movies needs to be in this type of format – i.e. why we did it, and then what we did, to take the reader along with us</w:t>
      </w:r>
    </w:p>
  </w:comment>
  <w:comment w:id="34" w:author="Unknown Author" w:date="2019-02-27T15:31:00Z" w:initials="">
    <w:p w14:paraId="48C04097" w14:textId="77777777" w:rsidR="00AE3FCA" w:rsidRDefault="00AE3FCA" w:rsidP="00EA39BC">
      <w:r>
        <w:t>The legends on the animations need to be held static.</w:t>
      </w:r>
    </w:p>
  </w:comment>
  <w:comment w:id="35" w:author="AJ Smit" w:date="2019-02-28T15:11:00Z" w:initials="Office">
    <w:p w14:paraId="127ABFF1" w14:textId="77777777" w:rsidR="00AE3FCA" w:rsidRDefault="00AE3FCA" w:rsidP="00EA39BC">
      <w:pPr>
        <w:pStyle w:val="CommentText"/>
      </w:pPr>
      <w:r>
        <w:rPr>
          <w:rStyle w:val="CommentReference"/>
        </w:rPr>
        <w:annotationRef/>
      </w:r>
      <w:r>
        <w:t>Hmmm. Okay.</w:t>
      </w:r>
    </w:p>
  </w:comment>
  <w:comment w:id="36" w:author="AJ Smit" w:date="2019-02-19T15:09:00Z" w:initials="Office">
    <w:p w14:paraId="0A224749" w14:textId="77777777" w:rsidR="00AE3FCA" w:rsidRDefault="00AE3FCA" w:rsidP="00EA39BC">
      <w:r>
        <w:rPr>
          <w:lang w:val="en-US" w:bidi="en-US"/>
        </w:rPr>
        <w:t>Not happy about this. I can think of some ways to address this, maybe, but I’d rather invest time in writing now, not a couple more hours of coding.</w:t>
      </w:r>
    </w:p>
  </w:comment>
  <w:comment w:id="37" w:author="Unknown Author" w:date="2019-02-27T15:24:00Z" w:initials="">
    <w:p w14:paraId="601580FA" w14:textId="77777777" w:rsidR="00AE3FCA" w:rsidRDefault="00AE3FCA" w:rsidP="00EA39BC">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67422" w15:done="0"/>
  <w15:commentEx w15:paraId="655F3621" w15:done="0"/>
  <w15:commentEx w15:paraId="389A9D55" w15:done="0"/>
  <w15:commentEx w15:paraId="1E92A437" w15:done="0"/>
  <w15:commentEx w15:paraId="1B47FC66" w15:done="0"/>
  <w15:commentEx w15:paraId="42A6E26F" w15:done="0"/>
  <w15:commentEx w15:paraId="26D16548" w15:done="0"/>
  <w15:commentEx w15:paraId="10CDFC16" w15:done="0"/>
  <w15:commentEx w15:paraId="015E8532" w15:done="0"/>
  <w15:commentEx w15:paraId="222875E7" w15:done="0"/>
  <w15:commentEx w15:paraId="0FDABB53" w15:done="0"/>
  <w15:commentEx w15:paraId="53BCA0A2"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67422" w16cid:durableId="2050406D"/>
  <w16cid:commentId w16cid:paraId="655F3621" w16cid:durableId="20586D66"/>
  <w16cid:commentId w16cid:paraId="389A9D55" w16cid:durableId="203DAEF1"/>
  <w16cid:commentId w16cid:paraId="1E92A437" w16cid:durableId="201575AB"/>
  <w16cid:commentId w16cid:paraId="1B47FC66" w16cid:durableId="2051EDDF"/>
  <w16cid:commentId w16cid:paraId="42A6E26F" w16cid:durableId="204C5B52"/>
  <w16cid:commentId w16cid:paraId="26D16548" w16cid:durableId="205980E7"/>
  <w16cid:commentId w16cid:paraId="10CDFC16" w16cid:durableId="20226FFB"/>
  <w16cid:commentId w16cid:paraId="015E8532" w16cid:durableId="20226FFC"/>
  <w16cid:commentId w16cid:paraId="222875E7" w16cid:durableId="20226FFD"/>
  <w16cid:commentId w16cid:paraId="0FDABB53" w16cid:durableId="20226FFA"/>
  <w16cid:commentId w16cid:paraId="53BCA0A2" w16cid:durableId="20598A25"/>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B7BD9" w14:textId="77777777" w:rsidR="00B07AFA" w:rsidRDefault="00B07AFA" w:rsidP="00EA39BC">
      <w:r>
        <w:separator/>
      </w:r>
    </w:p>
  </w:endnote>
  <w:endnote w:type="continuationSeparator" w:id="0">
    <w:p w14:paraId="2A20596F" w14:textId="77777777" w:rsidR="00B07AFA" w:rsidRDefault="00B07AFA"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AE3FCA" w:rsidRPr="004021D9" w:rsidRDefault="00AE3FC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AE3FCA" w:rsidRPr="00B547A9" w:rsidRDefault="00AE3FCA"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AE3FCA" w:rsidRPr="004021D9" w:rsidRDefault="00AE3FC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AE3FCA" w:rsidRDefault="00AE3FCA"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7F2F7" w14:textId="77777777" w:rsidR="00B07AFA" w:rsidRDefault="00B07AFA" w:rsidP="00EA39BC">
      <w:r>
        <w:separator/>
      </w:r>
    </w:p>
  </w:footnote>
  <w:footnote w:type="continuationSeparator" w:id="0">
    <w:p w14:paraId="0961C8B9" w14:textId="77777777" w:rsidR="00B07AFA" w:rsidRDefault="00B07AFA"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AE3FCA" w:rsidRDefault="00AE3FCA" w:rsidP="00EA39BC">
    <w:pPr>
      <w:pStyle w:val="Header"/>
    </w:pPr>
    <w:r>
      <w:tab/>
    </w:r>
  </w:p>
  <w:tbl>
    <w:tblPr>
      <w:tblW w:w="13110" w:type="dxa"/>
      <w:tblInd w:w="738" w:type="dxa"/>
      <w:tblLook w:val="04A0" w:firstRow="1" w:lastRow="0" w:firstColumn="1" w:lastColumn="0" w:noHBand="0" w:noVBand="1"/>
    </w:tblPr>
    <w:tblGrid>
      <w:gridCol w:w="6840"/>
      <w:gridCol w:w="6270"/>
    </w:tblGrid>
    <w:tr w:rsidR="00AE3FCA" w:rsidRPr="00A96E1E" w14:paraId="6D4FCB04" w14:textId="77777777" w:rsidTr="00516D77">
      <w:trPr>
        <w:trHeight w:val="900"/>
      </w:trPr>
      <w:tc>
        <w:tcPr>
          <w:tcW w:w="6840" w:type="dxa"/>
          <w:shd w:val="clear" w:color="auto" w:fill="auto"/>
        </w:tcPr>
        <w:p w14:paraId="1E6A53EC" w14:textId="77777777" w:rsidR="00AE3FCA" w:rsidRPr="00A96E1E" w:rsidRDefault="00AE3FCA"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AE3FCA" w:rsidRDefault="00AE3FCA" w:rsidP="00EA39BC">
          <w:r w:rsidRPr="00A96E1E">
            <w:t xml:space="preserve">Manuscript </w:t>
          </w:r>
        </w:p>
        <w:p w14:paraId="6BDBE0E6" w14:textId="77777777" w:rsidR="00AE3FCA" w:rsidRPr="00A96E1E" w:rsidRDefault="00AE3FCA" w:rsidP="00EA39BC">
          <w:pPr>
            <w:rPr>
              <w:sz w:val="36"/>
            </w:rPr>
          </w:pPr>
          <w:r w:rsidRPr="00A96E1E">
            <w:t>Template</w:t>
          </w:r>
        </w:p>
      </w:tc>
    </w:tr>
  </w:tbl>
  <w:p w14:paraId="292C5536" w14:textId="77777777" w:rsidR="00AE3FCA" w:rsidRDefault="00AE3FCA"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20C2"/>
    <w:rsid w:val="00014D96"/>
    <w:rsid w:val="000222C7"/>
    <w:rsid w:val="0003674A"/>
    <w:rsid w:val="00037583"/>
    <w:rsid w:val="0004134A"/>
    <w:rsid w:val="00050A43"/>
    <w:rsid w:val="00063D23"/>
    <w:rsid w:val="00076656"/>
    <w:rsid w:val="000A0CD9"/>
    <w:rsid w:val="000B2C20"/>
    <w:rsid w:val="000B7F0C"/>
    <w:rsid w:val="000C0E10"/>
    <w:rsid w:val="000C1149"/>
    <w:rsid w:val="00127FE1"/>
    <w:rsid w:val="00143D0F"/>
    <w:rsid w:val="001523C7"/>
    <w:rsid w:val="00157597"/>
    <w:rsid w:val="00161C59"/>
    <w:rsid w:val="001662E0"/>
    <w:rsid w:val="001B3B1A"/>
    <w:rsid w:val="001B5133"/>
    <w:rsid w:val="001B7ADA"/>
    <w:rsid w:val="002027EB"/>
    <w:rsid w:val="00202BD8"/>
    <w:rsid w:val="002056A7"/>
    <w:rsid w:val="00205D57"/>
    <w:rsid w:val="00207AC4"/>
    <w:rsid w:val="00213ACF"/>
    <w:rsid w:val="00223F87"/>
    <w:rsid w:val="00224FF2"/>
    <w:rsid w:val="00237B12"/>
    <w:rsid w:val="00244F9B"/>
    <w:rsid w:val="00261703"/>
    <w:rsid w:val="00266FB0"/>
    <w:rsid w:val="002828D7"/>
    <w:rsid w:val="00282E2A"/>
    <w:rsid w:val="002F4616"/>
    <w:rsid w:val="0033176B"/>
    <w:rsid w:val="003849B9"/>
    <w:rsid w:val="00385C8D"/>
    <w:rsid w:val="003A0B63"/>
    <w:rsid w:val="003B024A"/>
    <w:rsid w:val="003B6753"/>
    <w:rsid w:val="003C357C"/>
    <w:rsid w:val="003C63AD"/>
    <w:rsid w:val="003C699C"/>
    <w:rsid w:val="003D61C3"/>
    <w:rsid w:val="003F20D7"/>
    <w:rsid w:val="004021D9"/>
    <w:rsid w:val="00402374"/>
    <w:rsid w:val="0041012D"/>
    <w:rsid w:val="0041521B"/>
    <w:rsid w:val="00454396"/>
    <w:rsid w:val="00490034"/>
    <w:rsid w:val="004A10BE"/>
    <w:rsid w:val="004A4A54"/>
    <w:rsid w:val="004B065E"/>
    <w:rsid w:val="004C3B0E"/>
    <w:rsid w:val="004C6454"/>
    <w:rsid w:val="004C6CE1"/>
    <w:rsid w:val="004E0BEF"/>
    <w:rsid w:val="004F57BD"/>
    <w:rsid w:val="0050779E"/>
    <w:rsid w:val="00516D77"/>
    <w:rsid w:val="005341F3"/>
    <w:rsid w:val="00534E77"/>
    <w:rsid w:val="00546DBF"/>
    <w:rsid w:val="00556452"/>
    <w:rsid w:val="005677D3"/>
    <w:rsid w:val="00570CCF"/>
    <w:rsid w:val="005B3313"/>
    <w:rsid w:val="005B36C0"/>
    <w:rsid w:val="005C6F04"/>
    <w:rsid w:val="005F5A8D"/>
    <w:rsid w:val="0060303C"/>
    <w:rsid w:val="0064261D"/>
    <w:rsid w:val="00653FAB"/>
    <w:rsid w:val="00664B77"/>
    <w:rsid w:val="0066594C"/>
    <w:rsid w:val="006772C0"/>
    <w:rsid w:val="00677536"/>
    <w:rsid w:val="0069612A"/>
    <w:rsid w:val="006B3464"/>
    <w:rsid w:val="006E2E84"/>
    <w:rsid w:val="006F445B"/>
    <w:rsid w:val="006F486D"/>
    <w:rsid w:val="0072653A"/>
    <w:rsid w:val="007418E6"/>
    <w:rsid w:val="0075605E"/>
    <w:rsid w:val="00773497"/>
    <w:rsid w:val="00796F86"/>
    <w:rsid w:val="007E1FBC"/>
    <w:rsid w:val="007E5D76"/>
    <w:rsid w:val="00800B9E"/>
    <w:rsid w:val="00845597"/>
    <w:rsid w:val="008573F1"/>
    <w:rsid w:val="00863890"/>
    <w:rsid w:val="008645E8"/>
    <w:rsid w:val="00865346"/>
    <w:rsid w:val="008707B4"/>
    <w:rsid w:val="00881A4A"/>
    <w:rsid w:val="008A2BA0"/>
    <w:rsid w:val="008B601B"/>
    <w:rsid w:val="008D36F8"/>
    <w:rsid w:val="008D7751"/>
    <w:rsid w:val="0090405E"/>
    <w:rsid w:val="00912AF5"/>
    <w:rsid w:val="009158C6"/>
    <w:rsid w:val="00925402"/>
    <w:rsid w:val="0093615D"/>
    <w:rsid w:val="00943D39"/>
    <w:rsid w:val="00960319"/>
    <w:rsid w:val="00964D68"/>
    <w:rsid w:val="009A6229"/>
    <w:rsid w:val="009D10A3"/>
    <w:rsid w:val="009D3EFE"/>
    <w:rsid w:val="00A03783"/>
    <w:rsid w:val="00A04CD2"/>
    <w:rsid w:val="00A058A2"/>
    <w:rsid w:val="00A06F2C"/>
    <w:rsid w:val="00A06F40"/>
    <w:rsid w:val="00A139B9"/>
    <w:rsid w:val="00A1448A"/>
    <w:rsid w:val="00A16C38"/>
    <w:rsid w:val="00A4424B"/>
    <w:rsid w:val="00A569B6"/>
    <w:rsid w:val="00A9311D"/>
    <w:rsid w:val="00A96E1E"/>
    <w:rsid w:val="00AB5717"/>
    <w:rsid w:val="00AC1076"/>
    <w:rsid w:val="00AC2069"/>
    <w:rsid w:val="00AC364C"/>
    <w:rsid w:val="00AE3FCA"/>
    <w:rsid w:val="00AE6F15"/>
    <w:rsid w:val="00AF6017"/>
    <w:rsid w:val="00B07AFA"/>
    <w:rsid w:val="00B151F8"/>
    <w:rsid w:val="00B33C12"/>
    <w:rsid w:val="00B373A8"/>
    <w:rsid w:val="00B43C16"/>
    <w:rsid w:val="00B547A9"/>
    <w:rsid w:val="00B727D5"/>
    <w:rsid w:val="00B9057C"/>
    <w:rsid w:val="00B949F9"/>
    <w:rsid w:val="00BB401E"/>
    <w:rsid w:val="00BF179F"/>
    <w:rsid w:val="00C06E8D"/>
    <w:rsid w:val="00C52AE4"/>
    <w:rsid w:val="00C54F6F"/>
    <w:rsid w:val="00C6322B"/>
    <w:rsid w:val="00C75F48"/>
    <w:rsid w:val="00C81204"/>
    <w:rsid w:val="00C917E9"/>
    <w:rsid w:val="00C97201"/>
    <w:rsid w:val="00CA0972"/>
    <w:rsid w:val="00CB31D5"/>
    <w:rsid w:val="00CE3B9E"/>
    <w:rsid w:val="00CE6AA7"/>
    <w:rsid w:val="00CF5BE5"/>
    <w:rsid w:val="00CF7CC2"/>
    <w:rsid w:val="00D57978"/>
    <w:rsid w:val="00D66E66"/>
    <w:rsid w:val="00D913D9"/>
    <w:rsid w:val="00D92A65"/>
    <w:rsid w:val="00DB1620"/>
    <w:rsid w:val="00DB67CA"/>
    <w:rsid w:val="00DF2EEA"/>
    <w:rsid w:val="00DF6E28"/>
    <w:rsid w:val="00E158CC"/>
    <w:rsid w:val="00E30EAD"/>
    <w:rsid w:val="00E76322"/>
    <w:rsid w:val="00E81A31"/>
    <w:rsid w:val="00EA39BC"/>
    <w:rsid w:val="00EA75EC"/>
    <w:rsid w:val="00EB3AC7"/>
    <w:rsid w:val="00EB6BED"/>
    <w:rsid w:val="00EB6D47"/>
    <w:rsid w:val="00EC3451"/>
    <w:rsid w:val="00EC5A6C"/>
    <w:rsid w:val="00EC650F"/>
    <w:rsid w:val="00EC6675"/>
    <w:rsid w:val="00EC739B"/>
    <w:rsid w:val="00ED3846"/>
    <w:rsid w:val="00ED3CC6"/>
    <w:rsid w:val="00EE3E28"/>
    <w:rsid w:val="00EF16C9"/>
    <w:rsid w:val="00EF7099"/>
    <w:rsid w:val="00F01E4D"/>
    <w:rsid w:val="00F02265"/>
    <w:rsid w:val="00F058B9"/>
    <w:rsid w:val="00F10D13"/>
    <w:rsid w:val="00F505A3"/>
    <w:rsid w:val="00F53A5C"/>
    <w:rsid w:val="00F62B91"/>
    <w:rsid w:val="00F679E5"/>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 w:type="paragraph" w:styleId="NormalWeb">
    <w:name w:val="Normal (Web)"/>
    <w:basedOn w:val="Normal"/>
    <w:uiPriority w:val="99"/>
    <w:unhideWhenUsed/>
    <w:rsid w:val="003317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315528462">
      <w:bodyDiv w:val="1"/>
      <w:marLeft w:val="0"/>
      <w:marRight w:val="0"/>
      <w:marTop w:val="0"/>
      <w:marBottom w:val="0"/>
      <w:divBdr>
        <w:top w:val="none" w:sz="0" w:space="0" w:color="auto"/>
        <w:left w:val="none" w:sz="0" w:space="0" w:color="auto"/>
        <w:bottom w:val="none" w:sz="0" w:space="0" w:color="auto"/>
        <w:right w:val="none" w:sz="0" w:space="0" w:color="auto"/>
      </w:divBdr>
    </w:div>
    <w:div w:id="1918904803">
      <w:bodyDiv w:val="1"/>
      <w:marLeft w:val="0"/>
      <w:marRight w:val="0"/>
      <w:marTop w:val="0"/>
      <w:marBottom w:val="0"/>
      <w:divBdr>
        <w:top w:val="none" w:sz="0" w:space="0" w:color="auto"/>
        <w:left w:val="none" w:sz="0" w:space="0" w:color="auto"/>
        <w:bottom w:val="none" w:sz="0" w:space="0" w:color="auto"/>
        <w:right w:val="none" w:sz="0" w:space="0" w:color="auto"/>
      </w:divBdr>
    </w:div>
    <w:div w:id="1922719041">
      <w:bodyDiv w:val="1"/>
      <w:marLeft w:val="0"/>
      <w:marRight w:val="0"/>
      <w:marTop w:val="0"/>
      <w:marBottom w:val="0"/>
      <w:divBdr>
        <w:top w:val="none" w:sz="0" w:space="0" w:color="auto"/>
        <w:left w:val="none" w:sz="0" w:space="0" w:color="auto"/>
        <w:bottom w:val="none" w:sz="0" w:space="0" w:color="auto"/>
        <w:right w:val="none" w:sz="0" w:space="0" w:color="auto"/>
      </w:divBdr>
      <w:divsChild>
        <w:div w:id="253590209">
          <w:marLeft w:val="0"/>
          <w:marRight w:val="0"/>
          <w:marTop w:val="0"/>
          <w:marBottom w:val="0"/>
          <w:divBdr>
            <w:top w:val="none" w:sz="0" w:space="0" w:color="auto"/>
            <w:left w:val="none" w:sz="0" w:space="0" w:color="auto"/>
            <w:bottom w:val="none" w:sz="0" w:space="0" w:color="auto"/>
            <w:right w:val="none" w:sz="0" w:space="0" w:color="auto"/>
          </w:divBdr>
          <w:divsChild>
            <w:div w:id="1637298683">
              <w:marLeft w:val="0"/>
              <w:marRight w:val="0"/>
              <w:marTop w:val="0"/>
              <w:marBottom w:val="0"/>
              <w:divBdr>
                <w:top w:val="none" w:sz="0" w:space="0" w:color="auto"/>
                <w:left w:val="none" w:sz="0" w:space="0" w:color="auto"/>
                <w:bottom w:val="none" w:sz="0" w:space="0" w:color="auto"/>
                <w:right w:val="none" w:sz="0" w:space="0" w:color="auto"/>
              </w:divBdr>
              <w:divsChild>
                <w:div w:id="413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2D3626-D4C7-A149-88B5-91AC39C8F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12</Pages>
  <Words>22330</Words>
  <Characters>127284</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149316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38</cp:revision>
  <cp:lastPrinted>2014-09-16T13:46:00Z</cp:lastPrinted>
  <dcterms:created xsi:type="dcterms:W3CDTF">2019-03-24T11:52:00Z</dcterms:created>
  <dcterms:modified xsi:type="dcterms:W3CDTF">2019-04-12T05:49:00Z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