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77777777"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47110E7E"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4</w:t>
      </w:r>
      <w:r w:rsidRPr="00261703">
        <w:rPr>
          <w:bCs/>
          <w:lang w:val="en-ZA"/>
        </w:rPr>
        <w:t xml:space="preserve"> School of Science and Engineering, University of the Sunshine Coast, Queensland, Australia</w:t>
      </w:r>
      <w:r>
        <w:rPr>
          <w:bCs/>
          <w:lang w:val="en-ZA"/>
        </w:rPr>
        <w:t>.</w:t>
      </w:r>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7250C634" w14:textId="77777777" w:rsidR="007E1FBC" w:rsidRDefault="007E1FBC"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155D9FCB"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catastrophic 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33B82B1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xml:space="preserve">. In recent years,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w:t>
      </w:r>
      <w:r w:rsidRPr="00261703">
        <w:lastRenderedPageBreak/>
        <w:t>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1CDC6F8B"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xml:space="preserve">, in the north 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w:t>
      </w:r>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xml:space="preserve">, the seemingly stable WBC jets are defined by their fast geostrophic velocities and high mean kinetic energy (MKE)—much of the global ocean’s MKE is concentrated in the WBCs (refs.).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(refs.).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409C3B11" w:rsidR="00261703" w:rsidRDefault="00261703" w:rsidP="00EA39BC">
      <w:r w:rsidRPr="00261703">
        <w:t xml:space="preserve">Most </w:t>
      </w:r>
      <w:commentRangeStart w:id="0"/>
      <w:r w:rsidRPr="00261703">
        <w:t>WBCs are increasing in strength with climate change.</w:t>
      </w:r>
      <w:commentRangeEnd w:id="0"/>
      <w:r w:rsidRPr="00261703">
        <w:commentReference w:id="0"/>
      </w:r>
      <w:r w:rsidRPr="00261703">
        <w:t xml:space="preserve"> All WBCs, except for the Kuroshio Current, are extending poleward due to shifts in the radiative forcing of the predominant zonal wind systems (</w:t>
      </w:r>
      <w:r w:rsidRPr="00385C8D">
        <w:rPr>
          <w:highlight w:val="yellow"/>
        </w:rPr>
        <w:t>refs.</w:t>
      </w:r>
      <w:r w:rsidRPr="00261703">
        <w:t>). The current strength of WBCs is also intensifying under climate change for most WBCs, excluding the Gulf Stream (</w:t>
      </w:r>
      <w:r w:rsidRPr="00385C8D">
        <w:rPr>
          <w:highlight w:val="yellow"/>
        </w:rPr>
        <w:t>refs.</w:t>
      </w:r>
      <w:r w:rsidRPr="00261703">
        <w:t xml:space="preserve">). WBCs are responding by </w:t>
      </w:r>
      <w:commentRangeStart w:id="1"/>
      <w:r w:rsidRPr="00261703">
        <w:t xml:space="preserve">increasing mesoscale activity </w:t>
      </w:r>
      <w:commentRangeEnd w:id="1"/>
      <w:r w:rsidRPr="00261703">
        <w:commentReference w:id="1"/>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Collectively, these lines of evidence suggest that MHWs in WBCs could continue </w:t>
      </w:r>
      <w:r w:rsidR="007418E6">
        <w:t xml:space="preserve">to </w:t>
      </w:r>
      <w:r w:rsidRPr="00261703">
        <w:t>increase in the future.</w:t>
      </w:r>
    </w:p>
    <w:p w14:paraId="4492E3B3" w14:textId="77777777" w:rsidR="00EA39BC" w:rsidRPr="00261703" w:rsidRDefault="00EA39BC" w:rsidP="00EA39BC"/>
    <w:p w14:paraId="7C916B48" w14:textId="44F2B1B7" w:rsidR="00CB31D5" w:rsidRPr="000C211B" w:rsidRDefault="00261703" w:rsidP="00EA39BC">
      <w:r w:rsidRPr="00261703">
        <w:t xml:space="preserve">Here we delve in more detail into the hypothesis that MHWs have increased over the </w:t>
      </w:r>
      <w:r w:rsidR="007418E6">
        <w:t xml:space="preserve">four decades </w:t>
      </w:r>
      <w:r w:rsidRPr="00261703">
        <w:t>in the five major WBCs of the world</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adjacent areas where instabilities including the formation of mesoscale eddies and meanders are greatest? This should inform our understanding of the primary mechanism underlying the increase in MHWs in WBCs. Last, given that MHWs are increasing in WBCs, we test the hypothesis that MHWs </w:t>
      </w:r>
      <w:commentRangeStart w:id="2"/>
      <w:r w:rsidRPr="00261703">
        <w:t>are going to increase further in the future</w:t>
      </w:r>
      <w:commentRangeEnd w:id="2"/>
      <w:r w:rsidR="007418E6">
        <w:rPr>
          <w:rStyle w:val="CommentReference"/>
          <w:rFonts w:eastAsia="Times New Roman"/>
        </w:rPr>
        <w:commentReference w:id="2"/>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lastRenderedPageBreak/>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3A8C2E18" w:rsidR="00C52AE4" w:rsidRDefault="00C52AE4" w:rsidP="00C52AE4">
      <w:pPr>
        <w:rPr>
          <w:noProof/>
        </w:rPr>
      </w:pPr>
      <w:r>
        <w:t>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w:t>
      </w:r>
      <w:r>
        <w:t>.</w:t>
      </w:r>
      <w:r>
        <w:t xml:space="preserve"> 1a; </w:t>
      </w:r>
      <w:proofErr w:type="spellStart"/>
      <w:r>
        <w:t>retroflections</w:t>
      </w:r>
      <w:proofErr w:type="spellEnd"/>
      <w:r>
        <w:t xml:space="preserve"> and extensions of other WBCs in Fig. </w:t>
      </w:r>
      <w:r>
        <w:t>S</w:t>
      </w:r>
      <w:r>
        <w:t xml:space="preserve">1a, e, </w:t>
      </w:r>
      <w:proofErr w:type="spellStart"/>
      <w:r>
        <w:t>i</w:t>
      </w:r>
      <w:proofErr w:type="spellEnd"/>
      <w:r>
        <w:t xml:space="preserve">, m, q). This region is clearly represented by MKE values </w:t>
      </w:r>
      <w:r w:rsidRPr="00272FCE">
        <w:rPr>
          <w:noProof/>
        </w:rPr>
        <w:t xml:space="preserve">≥ </w:t>
      </w:r>
      <w:r>
        <w:rPr>
          <w:noProof/>
        </w:rPr>
        <w:t xml:space="preserve">their </w:t>
      </w:r>
      <w:r w:rsidRPr="00272FCE">
        <w:rPr>
          <w:noProof/>
        </w:rPr>
        <w:t>90th percentile</w:t>
      </w:r>
      <w:r>
        <w:rPr>
          <w:noProof/>
        </w:rPr>
        <w:t>. Being extremely energetic, WBCs are hydrodynamically unstable, and fields of high EKE form around the jets, and in particularly around the extensions and retroflections (see Fig</w:t>
      </w:r>
      <w:r>
        <w:rPr>
          <w:noProof/>
        </w:rPr>
        <w:t>.</w:t>
      </w:r>
      <w:r>
        <w:rPr>
          <w:noProof/>
        </w:rPr>
        <w:t xml:space="preserve"> 1b for the AC, and Fig. </w:t>
      </w:r>
      <w:r>
        <w:rPr>
          <w:noProof/>
        </w:rPr>
        <w:t>S</w:t>
      </w:r>
      <w:r>
        <w:rPr>
          <w:noProof/>
        </w:rPr>
        <w:t xml:space="preserve">1b, f, j, n, r for all WBCs). Again, a 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Fig</w:t>
      </w:r>
      <w:r>
        <w:rPr>
          <w:noProof/>
        </w:rPr>
        <w:t>.</w:t>
      </w:r>
      <w:r>
        <w:rPr>
          <w:noProof/>
        </w:rPr>
        <w:t xml:space="preserve"> 1c indicates traces of the mesoscale eddies ‘populating’ the AC zone of influence of the EKE field around 13 to 40</w:t>
      </w:r>
      <w:r>
        <w:t>°E, and 36.5 to 41°S</w:t>
      </w:r>
      <w:r>
        <w:rPr>
          <w:noProof/>
        </w:rPr>
        <w:t xml:space="preserve">. In this case it is particularly the areas where the AC retroflection form that the formation of eddies extracts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The formation of eddies that contribute towards the EKE field is exactly the same in the other WBCs (</w:t>
      </w:r>
      <w:r>
        <w:t xml:space="preserve">Fig. </w:t>
      </w:r>
      <w:r>
        <w:t>S</w:t>
      </w:r>
      <w:r>
        <w:t xml:space="preserve">1c, g, k, o, s). </w:t>
      </w:r>
      <w:r w:rsidR="001B7ADA">
        <w:t>T</w:t>
      </w:r>
      <w:r>
        <w:t>he area where MHW intensity is greatest</w:t>
      </w:r>
      <w:r w:rsidR="001B7ADA">
        <w:t xml:space="preserve"> is indicated</w:t>
      </w:r>
      <w:r>
        <w:t xml:space="preserve">, and again this region is enclosed by a polygon that captures the location where mean MHW intensity </w:t>
      </w:r>
      <w:r w:rsidRPr="00272FCE">
        <w:rPr>
          <w:noProof/>
        </w:rPr>
        <w:t xml:space="preserve">≥ </w:t>
      </w:r>
      <w:r>
        <w:rPr>
          <w:noProof/>
        </w:rPr>
        <w:t xml:space="preserve">their </w:t>
      </w:r>
      <w:r w:rsidRPr="00272FCE">
        <w:rPr>
          <w:noProof/>
        </w:rPr>
        <w:t>90th percentile</w:t>
      </w:r>
      <w:r>
        <w:rPr>
          <w:noProof/>
        </w:rPr>
        <w:t xml:space="preserve"> (Fig</w:t>
      </w:r>
      <w:r>
        <w:rPr>
          <w:noProof/>
        </w:rPr>
        <w:t>.</w:t>
      </w:r>
      <w:r>
        <w:rPr>
          <w:noProof/>
        </w:rPr>
        <w:t xml:space="preserve"> 1d). For the AC this region is just south of 40</w:t>
      </w:r>
      <w:r>
        <w:t>°S, from 10°E to 27°E, near the field of high EKE. The situation is the same for the BC, EAC, GS, and KC (</w:t>
      </w:r>
      <w:r>
        <w:rPr>
          <w:noProof/>
        </w:rPr>
        <w:t xml:space="preserve">Fig. </w:t>
      </w:r>
      <w:r>
        <w:rPr>
          <w:noProof/>
        </w:rPr>
        <w:t>S</w:t>
      </w:r>
      <w:r>
        <w:rPr>
          <w:noProof/>
        </w:rPr>
        <w:t>1d, h, l, p, t</w:t>
      </w:r>
      <w:r>
        <w:t>).</w:t>
      </w:r>
    </w:p>
    <w:p w14:paraId="5836197B" w14:textId="77777777" w:rsidR="00C52AE4" w:rsidRPr="00F95208" w:rsidRDefault="00C52AE4" w:rsidP="00C52AE4"/>
    <w:p w14:paraId="2E7C6EE8" w14:textId="1A56332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1 | (a)</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C52AE4">
        <w:rPr>
          <w:rFonts w:ascii="Arial" w:hAnsi="Arial" w:cs="Arial"/>
          <w:b/>
          <w:color w:val="4472C4" w:themeColor="accent1"/>
        </w:rPr>
        <w:t>(b)</w:t>
      </w:r>
      <w:r w:rsidRPr="00C52AE4">
        <w:rPr>
          <w:rFonts w:ascii="Arial" w:hAnsi="Arial" w:cs="Arial"/>
          <w:color w:val="4472C4" w:themeColor="accent1"/>
        </w:rPr>
        <w:t xml:space="preserve"> The field of mesoscale eddies forming around the Agulhas Current, and in particular the retroflection, can be seen by the </w:t>
      </w:r>
      <w:r w:rsidRPr="00C52AE4">
        <w:rPr>
          <w:rFonts w:ascii="Arial" w:hAnsi="Arial" w:cs="Arial"/>
          <w:color w:val="4472C4" w:themeColor="accent1"/>
        </w:rPr>
        <w:lastRenderedPageBreak/>
        <w:t xml:space="preserve">EKE; here the blue polygon marks the area of EKE ≥ 90th percentile. </w:t>
      </w:r>
      <w:r w:rsidRPr="00C52AE4">
        <w:rPr>
          <w:rFonts w:ascii="Arial" w:hAnsi="Arial" w:cs="Arial"/>
          <w:b/>
          <w:color w:val="4472C4" w:themeColor="accent1"/>
        </w:rPr>
        <w:t>(c)</w:t>
      </w:r>
      <w:r w:rsidRPr="00C52AE4">
        <w:rPr>
          <w:rFonts w:ascii="Arial" w:hAnsi="Arial" w:cs="Arial"/>
          <w:color w:val="4472C4" w:themeColor="accent1"/>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C52AE4">
        <w:rPr>
          <w:rFonts w:ascii="Arial" w:hAnsi="Arial" w:cs="Arial"/>
          <w:b/>
          <w:color w:val="4472C4" w:themeColor="accent1"/>
        </w:rPr>
        <w:t>(d)</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062B4F7D"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1 (a-t).</w:t>
      </w:r>
      <w:r w:rsidRPr="00C52AE4">
        <w:rPr>
          <w:rFonts w:ascii="Arial" w:hAnsi="Arial" w:cs="Arial"/>
          <w:i/>
          <w:color w:val="4472C4" w:themeColor="accent1"/>
          <w:sz w:val="20"/>
          <w:szCs w:val="20"/>
        </w:rPr>
        <w:t xml:space="preserve"> Full set of panels corresponding to Fig. 1.</w:t>
      </w:r>
    </w:p>
    <w:p w14:paraId="7B4FDFB7" w14:textId="77777777" w:rsidR="00C52AE4" w:rsidRPr="00C52AE4" w:rsidRDefault="00C52AE4" w:rsidP="00C52AE4">
      <w:pPr>
        <w:rPr>
          <w:rFonts w:ascii="Arial" w:hAnsi="Arial" w:cs="Arial"/>
          <w:color w:val="4472C4" w:themeColor="accent1"/>
        </w:rPr>
      </w:pPr>
    </w:p>
    <w:p w14:paraId="42466E56" w14:textId="77777777" w:rsidR="00C52AE4" w:rsidRPr="00C52AE4" w:rsidRDefault="00C52AE4" w:rsidP="00C52AE4">
      <w:pPr>
        <w:rPr>
          <w:rFonts w:ascii="Arial" w:hAnsi="Arial" w:cs="Arial"/>
          <w:strike/>
          <w:color w:val="4472C4" w:themeColor="accent1"/>
        </w:rPr>
      </w:pPr>
      <w:r w:rsidRPr="00C52AE4">
        <w:rPr>
          <w:rFonts w:ascii="Arial" w:hAnsi="Arial" w:cs="Arial"/>
          <w:b/>
          <w:strike/>
          <w:color w:val="4472C4" w:themeColor="accent1"/>
        </w:rPr>
        <w:t>Figure x.</w:t>
      </w:r>
      <w:r w:rsidRPr="00C52AE4">
        <w:rPr>
          <w:rFonts w:ascii="Arial" w:hAnsi="Arial" w:cs="Arial"/>
          <w:strike/>
          <w:color w:val="4472C4" w:themeColor="accent1"/>
        </w:rPr>
        <w:t xml:space="preserve"> MHW metrics duration and frequency of MHWs in </w:t>
      </w:r>
    </w:p>
    <w:p w14:paraId="2303A0A7" w14:textId="57B846D9" w:rsidR="00C52AE4" w:rsidRPr="00C52AE4" w:rsidRDefault="00C52AE4" w:rsidP="00C52AE4">
      <w:pPr>
        <w:rPr>
          <w:rFonts w:ascii="Arial" w:hAnsi="Arial" w:cs="Arial"/>
          <w:strike/>
          <w:color w:val="4472C4" w:themeColor="accent1"/>
        </w:rPr>
      </w:pPr>
      <w:r w:rsidRPr="00C52AE4">
        <w:rPr>
          <w:rFonts w:ascii="Arial" w:hAnsi="Arial" w:cs="Arial"/>
          <w:strike/>
          <w:color w:val="4472C4" w:themeColor="accent1"/>
        </w:rPr>
        <w:t xml:space="preserve">Fig. </w:t>
      </w:r>
      <w:proofErr w:type="spellStart"/>
      <w:r>
        <w:rPr>
          <w:rFonts w:ascii="Arial" w:hAnsi="Arial" w:cs="Arial"/>
          <w:strike/>
          <w:color w:val="4472C4" w:themeColor="accent1"/>
        </w:rPr>
        <w:t>S</w:t>
      </w:r>
      <w:r w:rsidRPr="00C52AE4">
        <w:rPr>
          <w:rFonts w:ascii="Arial" w:hAnsi="Arial" w:cs="Arial"/>
          <w:strike/>
          <w:color w:val="4472C4" w:themeColor="accent1"/>
        </w:rPr>
        <w:t>x</w:t>
      </w:r>
      <w:proofErr w:type="spellEnd"/>
      <w:r w:rsidRPr="00C52AE4">
        <w:rPr>
          <w:rFonts w:ascii="Arial" w:hAnsi="Arial" w:cs="Arial"/>
          <w:strike/>
          <w:color w:val="4472C4" w:themeColor="accent1"/>
        </w:rPr>
        <w:t>. Full set of panels matching Fig. x.</w:t>
      </w:r>
    </w:p>
    <w:p w14:paraId="5D36DE1D" w14:textId="77777777" w:rsidR="00C52AE4" w:rsidRDefault="00C52AE4" w:rsidP="00C52AE4"/>
    <w:p w14:paraId="1CF3E843" w14:textId="29A00029" w:rsidR="00C52AE4" w:rsidRDefault="00C52AE4" w:rsidP="00C52AE4">
      <w:r>
        <w:t>Outlines tracing the fields of maximal MKE and EKE, and areas of intense MHW activity, aid in localising the regions where each of these phenomena are most dominant relative to each other (Fig</w:t>
      </w:r>
      <w:r>
        <w:t>.</w:t>
      </w:r>
      <w:r>
        <w:t xml:space="preserve"> 2a-e).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0830F87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C52AE4">
        <w:rPr>
          <w:rFonts w:ascii="Arial" w:hAnsi="Arial" w:cs="Arial"/>
          <w:b/>
          <w:color w:val="4472C4" w:themeColor="accent1"/>
        </w:rPr>
        <w:t>(a)</w:t>
      </w:r>
      <w:r w:rsidRPr="00C52AE4">
        <w:rPr>
          <w:rFonts w:ascii="Arial" w:hAnsi="Arial" w:cs="Arial"/>
          <w:color w:val="4472C4" w:themeColor="accent1"/>
        </w:rPr>
        <w:t xml:space="preserve"> Agulhas Current, </w:t>
      </w:r>
      <w:r w:rsidRPr="00C52AE4">
        <w:rPr>
          <w:rFonts w:ascii="Arial" w:hAnsi="Arial" w:cs="Arial"/>
          <w:b/>
          <w:color w:val="4472C4" w:themeColor="accent1"/>
        </w:rPr>
        <w:t>(b)</w:t>
      </w:r>
      <w:r w:rsidRPr="00C52AE4">
        <w:rPr>
          <w:rFonts w:ascii="Arial" w:hAnsi="Arial" w:cs="Arial"/>
          <w:color w:val="4472C4" w:themeColor="accent1"/>
        </w:rPr>
        <w:t xml:space="preserve"> Brazil Current, </w:t>
      </w:r>
      <w:r w:rsidRPr="00C52AE4">
        <w:rPr>
          <w:rFonts w:ascii="Arial" w:hAnsi="Arial" w:cs="Arial"/>
          <w:b/>
          <w:color w:val="4472C4" w:themeColor="accent1"/>
        </w:rPr>
        <w:t>(c)</w:t>
      </w:r>
      <w:r w:rsidRPr="00C52AE4">
        <w:rPr>
          <w:rFonts w:ascii="Arial" w:hAnsi="Arial" w:cs="Arial"/>
          <w:color w:val="4472C4" w:themeColor="accent1"/>
        </w:rPr>
        <w:t xml:space="preserve"> East Australian Current, </w:t>
      </w:r>
      <w:r w:rsidRPr="00C52AE4">
        <w:rPr>
          <w:rFonts w:ascii="Arial" w:hAnsi="Arial" w:cs="Arial"/>
          <w:b/>
          <w:color w:val="4472C4" w:themeColor="accent1"/>
        </w:rPr>
        <w:t>(d)</w:t>
      </w:r>
      <w:r w:rsidRPr="00C52AE4">
        <w:rPr>
          <w:rFonts w:ascii="Arial" w:hAnsi="Arial" w:cs="Arial"/>
          <w:color w:val="4472C4" w:themeColor="accent1"/>
        </w:rPr>
        <w:t xml:space="preserve"> Gulf Stream, and </w:t>
      </w:r>
      <w:r w:rsidRPr="00C52AE4">
        <w:rPr>
          <w:rFonts w:ascii="Arial" w:hAnsi="Arial" w:cs="Arial"/>
          <w:b/>
          <w:color w:val="4472C4" w:themeColor="accent1"/>
        </w:rPr>
        <w:t>(e)</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1a-b (i.e.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447D00A3" w:rsidR="00C52AE4" w:rsidRDefault="00C52AE4" w:rsidP="00C52AE4">
      <w:r>
        <w:t xml:space="preserve">Looking at MKE and mean </w:t>
      </w:r>
      <w:r w:rsidR="001B7ADA">
        <w:t xml:space="preserve">MHW </w:t>
      </w:r>
      <w:r>
        <w:t xml:space="preserve">intensity, we see that there is a negative correlation between them in the areas that are dominated by the fastest current speeds. This is most visible in the </w:t>
      </w:r>
      <w:r w:rsidR="001B7ADA">
        <w:t>AC</w:t>
      </w:r>
      <w:r>
        <w:t xml:space="preserve">  and </w:t>
      </w:r>
      <w:r w:rsidR="001B7ADA">
        <w:t>KC</w:t>
      </w:r>
      <w:r>
        <w:t xml:space="preserve"> jets, but less clear in the </w:t>
      </w:r>
      <w:r w:rsidR="001B7ADA">
        <w:t>GS</w:t>
      </w:r>
      <w:r>
        <w:t xml:space="preserve">, </w:t>
      </w:r>
      <w:r w:rsidR="001B7ADA">
        <w:t>EAC</w:t>
      </w:r>
      <w:r>
        <w:t xml:space="preserve">, and </w:t>
      </w:r>
      <w:r w:rsidR="001B7ADA">
        <w:t>BC</w:t>
      </w:r>
      <w:r>
        <w:t xml:space="preserve">.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w:t>
      </w:r>
      <w:r w:rsidR="001B7ADA">
        <w:t>AC</w:t>
      </w:r>
      <w:r>
        <w:t>, the region of the return current where mean kinetic energy is high also produces less intense thermal events; this response in the return current or ex</w:t>
      </w:r>
      <w:bookmarkStart w:id="3" w:name="_GoBack"/>
      <w:bookmarkEnd w:id="3"/>
      <w:r>
        <w:t>tension portions of the WBCs is not visible in the other four regions.</w:t>
      </w:r>
    </w:p>
    <w:p w14:paraId="76832A3C" w14:textId="77777777" w:rsidR="00C52AE4" w:rsidRDefault="00C52AE4" w:rsidP="00C52AE4"/>
    <w:p w14:paraId="20F82ADF" w14:textId="16C1573D" w:rsidR="00C52AE4" w:rsidRDefault="00C52AE4" w:rsidP="00C52AE4">
      <w:ins w:id="4" w:author="Unknown Author" w:date="2019-02-27T15:46:00Z">
        <w:r>
          <w:t xml:space="preserve">When correlating the areas of highest EKE for all five WBCs (seen as deep purple in each panel of </w:t>
        </w:r>
        <w:r w:rsidRPr="00C52AE4">
          <w:rPr>
            <w:highlight w:val="yellow"/>
          </w:rPr>
          <w:t>Fig</w:t>
        </w:r>
      </w:ins>
      <w:r w:rsidRPr="00C52AE4">
        <w:rPr>
          <w:highlight w:val="yellow"/>
        </w:rPr>
        <w:t>.</w:t>
      </w:r>
      <w:ins w:id="5" w:author="Unknown Author" w:date="2019-02-27T15:46:00Z">
        <w:r w:rsidRPr="00C52AE4">
          <w:rPr>
            <w:highlight w:val="yellow"/>
          </w:rPr>
          <w:t xml:space="preserve"> XXX</w:t>
        </w:r>
        <w:r>
          <w:t xml:space="preserve">) to the mean intensity of the MHWs detected there, we tend to see that a dipole-like structure </w:t>
        </w:r>
      </w:ins>
      <w:ins w:id="6" w:author="Unknown Author" w:date="2019-02-27T15:49:00Z">
        <w:r>
          <w:t>is formed</w:t>
        </w:r>
      </w:ins>
      <w:ins w:id="7" w:author="Unknown Author" w:date="2019-02-27T15:51:00Z">
        <w:r>
          <w:t>.</w:t>
        </w:r>
      </w:ins>
      <w:ins w:id="8" w:author="Unknown Author" w:date="2019-02-27T15:47:00Z">
        <w:r>
          <w:t xml:space="preserve"> This structure shows positive correlations in EKE and mean intensity occurring within the poleward side of the high EKE regions, and negative correlations in the equatorward side.</w:t>
        </w:r>
      </w:ins>
    </w:p>
    <w:p w14:paraId="088169E8" w14:textId="77777777" w:rsidR="00C52AE4" w:rsidRDefault="00C52AE4" w:rsidP="00C52AE4"/>
    <w:p w14:paraId="6B917637" w14:textId="77777777" w:rsidR="00C52AE4" w:rsidRDefault="00C52AE4" w:rsidP="00C52AE4">
      <w:del w:id="9"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10" w:author="Unknown Author" w:date="2019-02-27T15:47:00Z">
        <w:r>
          <w:t>of</w:t>
        </w:r>
      </w:ins>
      <w:del w:id="11"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46710794" w14:textId="77777777" w:rsidR="00C52AE4" w:rsidRDefault="00C52AE4" w:rsidP="00C52AE4">
      <w:pPr>
        <w:rPr>
          <w:color w:val="4472C4" w:themeColor="accent1"/>
        </w:rPr>
      </w:pPr>
    </w:p>
    <w:p w14:paraId="793C8C4F" w14:textId="1620B0F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C52AE4">
        <w:rPr>
          <w:rFonts w:ascii="Arial" w:hAnsi="Arial" w:cs="Arial"/>
          <w:b/>
          <w:noProof/>
          <w:color w:val="4472C4" w:themeColor="accent1"/>
        </w:rPr>
        <w:t>(a, c, e, g, i)</w:t>
      </w:r>
      <w:r w:rsidRPr="00C52AE4">
        <w:rPr>
          <w:rFonts w:ascii="Arial" w:hAnsi="Arial" w:cs="Arial"/>
          <w:noProof/>
          <w:color w:val="4472C4" w:themeColor="accent1"/>
        </w:rPr>
        <w:t xml:space="preserve"> MKE vs. mean MHW intensity, and </w:t>
      </w:r>
      <w:r w:rsidRPr="00C52AE4">
        <w:rPr>
          <w:rFonts w:ascii="Arial" w:hAnsi="Arial" w:cs="Arial"/>
          <w:b/>
          <w:noProof/>
          <w:color w:val="4472C4" w:themeColor="accent1"/>
        </w:rPr>
        <w:t>(b, d, f, h, j)</w:t>
      </w:r>
      <w:r w:rsidRPr="00C52AE4">
        <w:rPr>
          <w:rFonts w:ascii="Arial" w:hAnsi="Arial" w:cs="Arial"/>
          <w:noProof/>
          <w:color w:val="4472C4" w:themeColor="accent1"/>
        </w:rPr>
        <w:t xml:space="preserve"> EKE vs. mean MHW intensity. Time series cover the</w:t>
      </w:r>
      <w:r w:rsidRPr="00C52AE4">
        <w:rPr>
          <w:rFonts w:ascii="Arial" w:hAnsi="Arial" w:cs="Arial"/>
          <w:color w:val="4472C4" w:themeColor="accent1"/>
        </w:rPr>
        <w:t xml:space="preserve"> period 1993-01-01 </w:t>
      </w:r>
      <w:r w:rsidRPr="00C52AE4">
        <w:rPr>
          <w:rFonts w:ascii="Arial" w:hAnsi="Arial" w:cs="Arial"/>
          <w:color w:val="4472C4" w:themeColor="accent1"/>
        </w:rPr>
        <w:lastRenderedPageBreak/>
        <w:t xml:space="preserve">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526A852D" w14:textId="37440F6A"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C52AE4">
        <w:rPr>
          <w:rFonts w:ascii="Arial" w:hAnsi="Arial" w:cs="Arial"/>
          <w:b/>
          <w:color w:val="4472C4" w:themeColor="accent1"/>
        </w:rPr>
        <w:t xml:space="preserve">(a, c, e, g, </w:t>
      </w:r>
      <w:proofErr w:type="spellStart"/>
      <w:r w:rsidRPr="00C52AE4">
        <w:rPr>
          <w:rFonts w:ascii="Arial" w:hAnsi="Arial" w:cs="Arial"/>
          <w:b/>
          <w:color w:val="4472C4" w:themeColor="accent1"/>
        </w:rPr>
        <w:t>i</w:t>
      </w:r>
      <w:proofErr w:type="spellEnd"/>
      <w:r w:rsidRPr="00C52AE4">
        <w:rPr>
          <w:rFonts w:ascii="Arial" w:hAnsi="Arial" w:cs="Arial"/>
          <w:b/>
          <w:color w:val="4472C4" w:themeColor="accent1"/>
        </w:rPr>
        <w:t>)</w:t>
      </w:r>
      <w:r w:rsidRPr="00C52AE4">
        <w:rPr>
          <w:rFonts w:ascii="Arial" w:hAnsi="Arial" w:cs="Arial"/>
          <w:color w:val="4472C4" w:themeColor="accent1"/>
        </w:rPr>
        <w:t xml:space="preserve"> mean HMW intensity (°C per decade), and the </w:t>
      </w:r>
      <w:r w:rsidRPr="00C52AE4">
        <w:rPr>
          <w:rFonts w:ascii="Arial" w:hAnsi="Arial" w:cs="Arial"/>
          <w:b/>
          <w:color w:val="4472C4" w:themeColor="accent1"/>
        </w:rPr>
        <w:t>(b, d, f, h, j)</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B788503"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2 (a-d).</w:t>
      </w:r>
      <w:r w:rsidRPr="00C52AE4">
        <w:rPr>
          <w:rFonts w:ascii="Arial" w:hAnsi="Arial" w:cs="Arial"/>
          <w:i/>
          <w:color w:val="4472C4" w:themeColor="accent1"/>
          <w:sz w:val="20"/>
          <w:szCs w:val="20"/>
        </w:rPr>
        <w:t xml:space="preserve"> Full set of panels of SST mean trend.</w:t>
      </w:r>
    </w:p>
    <w:p w14:paraId="6F61BEED" w14:textId="448B928D" w:rsidR="00C52AE4" w:rsidRPr="008D5AE8" w:rsidRDefault="00C52AE4" w:rsidP="00C52AE4">
      <w:pPr>
        <w:pStyle w:val="ListParagraph"/>
        <w:numPr>
          <w:ilvl w:val="0"/>
          <w:numId w:val="17"/>
        </w:numPr>
        <w:rPr>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4.</w:t>
      </w:r>
      <w:r w:rsidRPr="00C52AE4">
        <w:rPr>
          <w:rFonts w:ascii="Arial" w:hAnsi="Arial" w:cs="Arial"/>
          <w:i/>
          <w:color w:val="4472C4" w:themeColor="accent1"/>
          <w:sz w:val="20"/>
          <w:szCs w:val="20"/>
        </w:rPr>
        <w:t xml:space="preserve"> Full set of panels matching Fig. </w:t>
      </w:r>
      <w:r>
        <w:rPr>
          <w:rFonts w:ascii="Arial" w:hAnsi="Arial" w:cs="Arial"/>
          <w:i/>
          <w:color w:val="4472C4" w:themeColor="accent1"/>
          <w:sz w:val="20"/>
          <w:szCs w:val="20"/>
        </w:rPr>
        <w:t>S</w:t>
      </w:r>
      <w:r w:rsidRPr="00C52AE4">
        <w:rPr>
          <w:rFonts w:ascii="Arial" w:hAnsi="Arial" w:cs="Arial"/>
          <w:i/>
          <w:color w:val="4472C4" w:themeColor="accent1"/>
          <w:sz w:val="20"/>
          <w:szCs w:val="20"/>
        </w:rPr>
        <w:t>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339D88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colder regions </w:t>
      </w:r>
      <w:r w:rsidR="004E0BEF">
        <w:rPr>
          <w:iCs/>
        </w:rPr>
        <w:t>opposite 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p>
    <w:p w14:paraId="3D913009" w14:textId="77777777" w:rsidR="00EA39BC" w:rsidRPr="004E0BEF" w:rsidRDefault="00EA39BC" w:rsidP="00EA39BC"/>
    <w:p w14:paraId="0D5C549E" w14:textId="3BFF1FC6" w:rsidR="00773497" w:rsidRDefault="004B065E" w:rsidP="00EA39BC">
      <w:r>
        <w:t xml:space="preserve">Heat transport in </w:t>
      </w:r>
      <w:r w:rsidR="00A139B9">
        <w:t>WBCs</w:t>
      </w:r>
      <w:r>
        <w:t xml:space="preserve"> is associated with the current jets (represented here by MKE), the lateral field of high kinetic energy (as EKE)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xml:space="preserve">, and evidence suggests that WBCs—which are responding in centennial warming at rates </w:t>
      </w:r>
      <w:r w:rsidR="006E2E84">
        <w:t>up</w:t>
      </w:r>
      <w:r w:rsidR="00C75F48">
        <w:t xml:space="preserve"> to three times that of the global average </w:t>
      </w:r>
      <w:r w:rsidR="00C75F48">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C75F48">
        <w:fldChar w:fldCharType="separate"/>
      </w:r>
      <w:r w:rsidR="0050779E" w:rsidRPr="0050779E">
        <w:rPr>
          <w:noProof/>
        </w:rPr>
        <w:t>(</w:t>
      </w:r>
      <w:r w:rsidR="0050779E" w:rsidRPr="0050779E">
        <w:rPr>
          <w:i/>
          <w:noProof/>
        </w:rPr>
        <w:t>26</w:t>
      </w:r>
      <w:r w:rsidR="0050779E" w:rsidRPr="0050779E">
        <w:rPr>
          <w:noProof/>
        </w:rPr>
        <w:t>)</w:t>
      </w:r>
      <w:r w:rsidR="00C75F48">
        <w:fldChar w:fldCharType="end"/>
      </w:r>
      <w:r w:rsidR="00C75F48">
        <w:t>—are also responsible for regional warming over land (</w:t>
      </w:r>
      <w:r w:rsidR="00C75F48" w:rsidRPr="00C75F48">
        <w:rPr>
          <w:highlight w:val="yellow"/>
        </w:rPr>
        <w:t>refs.</w:t>
      </w:r>
      <w:r w:rsidR="00C75F48">
        <w:t xml:space="preserve">). </w:t>
      </w:r>
      <w:r w:rsidR="006E2E84">
        <w:t>Studies that have examined the</w:t>
      </w:r>
      <w:r w:rsidR="00546DBF">
        <w:t>se</w:t>
      </w:r>
      <w:r w:rsidR="006E2E84">
        <w:t xml:space="preserve"> warming trends generally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r w:rsidR="00DF6E28">
        <w:t>Our more d</w:t>
      </w:r>
      <w:r w:rsidR="00C06E8D">
        <w:t>etailed views 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and </w:t>
      </w:r>
      <w:r w:rsidR="00CF5BE5">
        <w:t xml:space="preserve">MHWs. </w:t>
      </w:r>
      <w:r w:rsidR="003849B9">
        <w:t xml:space="preserve">The WBC jets themselves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t>ca. 5</w:t>
      </w:r>
      <w:r w:rsidR="00DF6E28" w:rsidRPr="00C97201">
        <w:t>°</w:t>
      </w:r>
      <w:r w:rsidR="00A139B9">
        <w:t xml:space="preserve"> south-west of the point of inception of the AC, and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at the point of inception of the northwards flowing retroflection of the BC</w:t>
      </w:r>
      <w:r w:rsidR="003849B9">
        <w:t xml:space="preserve">. </w:t>
      </w:r>
    </w:p>
    <w:p w14:paraId="2F2D0646" w14:textId="77777777" w:rsidR="00773497" w:rsidRDefault="00773497" w:rsidP="00EA39BC"/>
    <w:p w14:paraId="766FF9B2" w14:textId="62567229" w:rsidR="00773497" w:rsidRDefault="00773497" w:rsidP="00EA39BC">
      <w:r>
        <w:t>Our analysis &lt;</w:t>
      </w:r>
      <w:r w:rsidRPr="00DB67CA">
        <w:t>talk about MKE and centennial SST change; MHWs</w:t>
      </w:r>
      <w:r>
        <w:t>&gt;</w:t>
      </w:r>
    </w:p>
    <w:p w14:paraId="5290F501" w14:textId="5595FF4C" w:rsidR="004B065E" w:rsidRPr="00C97201" w:rsidRDefault="004B065E" w:rsidP="00EA39BC">
      <w:r>
        <w:t xml:space="preserve">Eddy heat flux is generally not important in much of the world's oceans, but it is an important with boundary currents is an important component of global heat flux, unlike in most other ocean regions. </w:t>
      </w:r>
    </w:p>
    <w:p w14:paraId="392D165A" w14:textId="77777777" w:rsidR="00C97201" w:rsidRPr="00C97201" w:rsidRDefault="00C97201" w:rsidP="00EA39BC"/>
    <w:p w14:paraId="73ECDF82" w14:textId="2F222A99" w:rsidR="00C97201" w:rsidRPr="00C97201" w:rsidRDefault="00C97201" w:rsidP="00EA39BC">
      <w:r w:rsidRPr="00C97201">
        <w:t>This finding resulted from an analysis of the right-hand tail of the extreme temperature value distribution (</w:t>
      </w:r>
      <w:r w:rsidRPr="00C97201">
        <w:rPr>
          <w:i/>
          <w:iCs/>
        </w:rPr>
        <w:t>i.e.</w:t>
      </w:r>
      <w:r w:rsidRPr="00C97201">
        <w:t xml:space="preserve"> ≥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50779E">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28</w:t>
      </w:r>
      <w:r w:rsidR="00C75F48" w:rsidRPr="00C75F48">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50779E">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29</w:t>
      </w:r>
      <w:r w:rsidR="00C75F48" w:rsidRPr="00C75F48">
        <w:rPr>
          <w:noProof/>
        </w:rPr>
        <w:t>)</w:t>
      </w:r>
      <w:r w:rsidR="00F505A3">
        <w:fldChar w:fldCharType="end"/>
      </w:r>
      <w:r w:rsidRPr="00C97201">
        <w:t>. Future conditions should be increasingly characterised by SSTs situated in the top-</w:t>
      </w:r>
      <w:r w:rsidRPr="00C97201">
        <w:lastRenderedPageBreak/>
        <w:t xml:space="preserve">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50779E">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30</w:t>
      </w:r>
      <w:r w:rsidR="00C75F48" w:rsidRPr="00C75F48">
        <w:rPr>
          <w:noProof/>
        </w:rPr>
        <w:t>)</w:t>
      </w:r>
      <w:r w:rsidR="00F505A3">
        <w:fldChar w:fldCharType="end"/>
      </w:r>
      <w:r w:rsidRPr="00C97201">
        <w:t>.</w:t>
      </w:r>
    </w:p>
    <w:p w14:paraId="5C20DB83" w14:textId="76B7DDFC" w:rsidR="00C97201" w:rsidRPr="00C97201" w:rsidRDefault="00C97201" w:rsidP="00C52AE4">
      <w:r w:rsidRPr="00C97201">
        <w:t xml:space="preserve">As yet no </w:t>
      </w:r>
      <w:commentRangeStart w:id="12"/>
      <w:r w:rsidRPr="00C97201">
        <w:t>permanent impact</w:t>
      </w:r>
      <w:commentRangeEnd w:id="12"/>
      <w:r w:rsidRPr="00C97201">
        <w:commentReference w:id="12"/>
      </w:r>
      <w:r w:rsidRPr="00C97201">
        <w:t xml:space="preserve"> on pelagic ecosystems have been reported, raising questions around whether MHWs should be considered a threat to the world’s oceanic ecosystems.</w:t>
      </w:r>
      <w:ins w:id="13" w:author="Unknown Author" w:date="2019-02-27T16:05:00Z">
        <w:r w:rsidRPr="00C97201">
          <w:t xml:space="preserve"> MHWs have </w:t>
        </w:r>
      </w:ins>
      <w:ins w:id="14" w:author="Unknown Author" w:date="2019-02-27T16:06:00Z">
        <w:r w:rsidRPr="00C97201">
          <w:t xml:space="preserve">however been extensively documented to cause damage to coastal ecosystems and so </w:t>
        </w:r>
      </w:ins>
      <w:ins w:id="15" w:author="Unknown Author" w:date="2019-02-27T16:07:00Z">
        <w:r w:rsidRPr="00C97201">
          <w:t>any increase in shoreward meanders of WBCs would be of concern.</w:t>
        </w:r>
      </w:ins>
    </w:p>
    <w:p w14:paraId="73920F39" w14:textId="77777777" w:rsidR="00C97201" w:rsidRPr="00C97201" w:rsidRDefault="00C97201" w:rsidP="00EA39BC"/>
    <w:p w14:paraId="455EE75B" w14:textId="77777777" w:rsidR="00C97201" w:rsidRPr="00C97201" w:rsidRDefault="00C97201" w:rsidP="00EA39BC">
      <w:commentRangeStart w:id="16"/>
      <w:r w:rsidRPr="00C97201">
        <w:t>All WBCs are responding in similar key ways…</w:t>
      </w:r>
      <w:commentRangeEnd w:id="16"/>
      <w:ins w:id="17" w:author="Unknown Author" w:date="2019-02-27T16:03:00Z">
        <w:r w:rsidRPr="00C97201">
          <w:commentReference w:id="16"/>
        </w:r>
      </w:ins>
    </w:p>
    <w:p w14:paraId="64DE6C64" w14:textId="77777777" w:rsidR="00C97201" w:rsidRPr="00C97201" w:rsidRDefault="00C97201" w:rsidP="00EA39BC"/>
    <w:p w14:paraId="43F12C78" w14:textId="77777777" w:rsidR="00C97201" w:rsidRPr="00C97201" w:rsidRDefault="00C97201" w:rsidP="00EA39BC">
      <w:r w:rsidRPr="00C97201">
        <w:t xml:space="preserve">Except for the Kuroshio Current, WBCs are </w:t>
      </w:r>
      <w:commentRangeStart w:id="18"/>
      <w:r w:rsidRPr="00C97201">
        <w:t>extending poleward</w:t>
      </w:r>
      <w:commentRangeEnd w:id="18"/>
      <w:r w:rsidRPr="00C97201">
        <w:commentReference w:id="18"/>
      </w:r>
      <w:r w:rsidRPr="00C97201">
        <w:t xml:space="preserve"> due to shifts in the radiative forcing of the predominant zonal wind systems (refs.). Reports of intensification of the currents exist for all WBCs, excluding the Gulf Stream (refs.). They are responding by </w:t>
      </w:r>
      <w:commentRangeStart w:id="19"/>
      <w:r w:rsidRPr="00C97201">
        <w:t xml:space="preserve">increasing mesoscale activities </w:t>
      </w:r>
      <w:commentRangeEnd w:id="19"/>
      <w:r w:rsidRPr="00C97201">
        <w:commentReference w:id="19"/>
      </w:r>
      <w:r w:rsidRPr="00C97201">
        <w:t>(refs.), and they display the highest rates of decadal trends in increasing sea surface temperatures in the world’s oceans (refs.). [expand here]</w:t>
      </w:r>
    </w:p>
    <w:p w14:paraId="1643BFE7" w14:textId="77777777" w:rsidR="00C97201" w:rsidRPr="00C97201" w:rsidRDefault="00C97201" w:rsidP="00EA39BC"/>
    <w:p w14:paraId="4025BF42" w14:textId="77777777" w:rsidR="00C97201" w:rsidRPr="00C97201" w:rsidRDefault="00C97201" w:rsidP="00EA39BC">
      <w:r w:rsidRPr="00C97201">
        <w:t>[link with extreme thermal events here]</w:t>
      </w:r>
    </w:p>
    <w:p w14:paraId="0327259D" w14:textId="77777777" w:rsidR="00C97201" w:rsidRPr="00C97201" w:rsidRDefault="00C97201" w:rsidP="00EA39BC">
      <w:ins w:id="20" w:author="Unknown Author" w:date="2019-02-27T16:08:00Z">
        <w:r w:rsidRPr="00C97201">
          <w:t xml:space="preserve">With WBCs warming at an increased rate to the global average, </w:t>
        </w:r>
      </w:ins>
      <w:ins w:id="21" w:author="Unknown Author" w:date="2019-02-27T16:09:00Z">
        <w:r w:rsidRPr="00C97201">
          <w:t xml:space="preserve">it may be </w:t>
        </w:r>
        <w:proofErr w:type="spellStart"/>
        <w:r w:rsidRPr="00C97201">
          <w:t>asssumed</w:t>
        </w:r>
        <w:proofErr w:type="spellEnd"/>
        <w:r w:rsidRPr="00C97201">
          <w:t xml:space="preserve"> that duration and intensity of MHWs in these regions will also increase at a rate greater than the global average.</w:t>
        </w:r>
      </w:ins>
      <w:ins w:id="22" w:author="Unknown Author" w:date="2019-02-27T16:16:00Z">
        <w:r w:rsidRPr="00C97201">
          <w:t xml:space="preserve"> Due to the high internal variability (i.e. high</w:t>
        </w:r>
      </w:ins>
      <w:ins w:id="23" w:author="Unknown Author" w:date="2019-02-27T16:17:00Z">
        <w:r w:rsidRPr="00C97201">
          <w:t xml:space="preserve"> EKE) normally found within WBCs, </w:t>
        </w:r>
      </w:ins>
      <w:ins w:id="24" w:author="Unknown Author" w:date="2019-02-27T16:18:00Z">
        <w:r w:rsidRPr="00C97201">
          <w:t xml:space="preserve">it is likely that any </w:t>
        </w:r>
        <w:proofErr w:type="spellStart"/>
        <w:r w:rsidRPr="00C97201">
          <w:t>speies</w:t>
        </w:r>
        <w:proofErr w:type="spellEnd"/>
        <w:r w:rsidRPr="00C97201">
          <w:t xml:space="preserve"> adapted </w:t>
        </w:r>
      </w:ins>
      <w:ins w:id="25" w:author="Unknown Author" w:date="2019-02-27T16:19:00Z">
        <w:r w:rsidRPr="00C97201">
          <w:t>to live within this oceanographic feature is not adversely affected by MHWs. The concern is rather for areas with the ‘</w:t>
        </w:r>
      </w:ins>
      <w:ins w:id="26" w:author="Unknown Author" w:date="2019-02-27T16:20:00Z">
        <w:r w:rsidRPr="00C97201">
          <w:t>meander zone’ of WBCs and whether or not these regions reach into shallower waters where they can adversely affect benthic ecosystems found along the coastline.</w:t>
        </w:r>
      </w:ins>
    </w:p>
    <w:p w14:paraId="4384CA29" w14:textId="77777777" w:rsidR="00C97201" w:rsidRDefault="00C97201" w:rsidP="00AC2069">
      <w:pPr>
        <w:pStyle w:val="Paragraph"/>
        <w:spacing w:before="0"/>
        <w:ind w:left="720" w:firstLine="0"/>
      </w:pP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7777777"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r w:rsidRPr="00EA39BC">
        <w:lastRenderedPageBreak/>
        <w:t>(‘</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0B969EDA"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xml:space="preserve">) the large-scale circulation (i.e. the quasi-stationary jet represented by the long-term mean MKE); ii) areas where instabilities result in the formation of mesoscale eddies (i.e. areas where EKE increases); and iii) areas influenced by meanders from the WBCs. MKE and EKE were calculated from the altimeter-derived zonal (u) and meridional (v)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7777777" w:rsidR="007418E6" w:rsidRPr="007418E6" w:rsidRDefault="007418E6" w:rsidP="00EA39BC">
      <w:r w:rsidRPr="007418E6">
        <w:t>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 xml:space="preserve">‘Masks’ representing the fields of maximal influence of MKE, EKE (called ‘zones of influence’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27"/>
      <w:r w:rsidRPr="007418E6">
        <w:t>eddies that occurred during periods of the top three most intense thermal events were tagged</w:t>
      </w:r>
      <w:commentRangeEnd w:id="27"/>
      <w:r w:rsidRPr="007418E6">
        <w:commentReference w:id="27"/>
      </w:r>
      <w:r w:rsidRPr="007418E6">
        <w:t>.</w:t>
      </w:r>
    </w:p>
    <w:p w14:paraId="175E17F1" w14:textId="77777777" w:rsidR="007418E6" w:rsidRPr="007418E6" w:rsidRDefault="007418E6" w:rsidP="00EA39BC"/>
    <w:p w14:paraId="0FC934A6" w14:textId="77777777" w:rsidR="007418E6" w:rsidRPr="007418E6" w:rsidRDefault="007418E6" w:rsidP="00EA39BC">
      <w:r w:rsidRPr="007418E6">
        <w:t>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(r) were then represented geographically.</w:t>
      </w:r>
    </w:p>
    <w:p w14:paraId="34F56B58" w14:textId="77777777" w:rsidR="007418E6" w:rsidRPr="007418E6" w:rsidRDefault="007418E6" w:rsidP="00EA39BC"/>
    <w:p w14:paraId="4623DACC" w14:textId="77777777" w:rsidR="007418E6" w:rsidRPr="007418E6" w:rsidRDefault="007418E6" w:rsidP="00EA39BC">
      <w:commentRangeStart w:id="28"/>
      <w:r w:rsidRPr="007418E6">
        <w:t>To assess whether large-scale WBC meanders and rings might transport warm water into the ocean regions flanking the field dominated by high EKE, we created animations of daily geostrophic velocities and the occurrence of MHWs.</w:t>
      </w:r>
      <w:commentRangeEnd w:id="28"/>
      <w:r w:rsidRPr="007418E6">
        <w:commentReference w:id="28"/>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29"/>
      <w:commentRangeStart w:id="30"/>
      <w:commentRangeStart w:id="31"/>
      <w:r w:rsidRPr="007418E6">
        <w:t>These animations</w:t>
      </w:r>
      <w:commentRangeEnd w:id="29"/>
      <w:r w:rsidRPr="007418E6">
        <w:commentReference w:id="29"/>
      </w:r>
      <w:commentRangeEnd w:id="30"/>
      <w:r w:rsidRPr="007418E6">
        <w:commentReference w:id="30"/>
      </w:r>
      <w:r w:rsidRPr="007418E6">
        <w:t xml:space="preserve"> were manually examined for co-occurrences of meanders and thermal events.</w:t>
      </w:r>
      <w:commentRangeEnd w:id="31"/>
      <w:r w:rsidRPr="007418E6">
        <w:commentReference w:id="31"/>
      </w:r>
    </w:p>
    <w:p w14:paraId="688D970E" w14:textId="77777777" w:rsidR="007418E6" w:rsidRPr="007418E6" w:rsidRDefault="007418E6" w:rsidP="00EA39BC"/>
    <w:p w14:paraId="1AE8D0DA" w14:textId="77777777" w:rsidR="007418E6" w:rsidRPr="007418E6" w:rsidRDefault="007418E6" w:rsidP="00EA39BC">
      <w:commentRangeStart w:id="32"/>
      <w:r w:rsidRPr="007418E6">
        <w:t>To quantify the relationship between meanders and MHWs outside of WBCs we looked at the pixels surrounding the pre-determined 90th percentile MKE boundaries. When anomalously strong MKE values were detected in these pixels the occurrence of any MHWs were noted and the duration/intensity were used to calculate the strength of this potential relationship.</w:t>
      </w:r>
      <w:commentRangeEnd w:id="32"/>
      <w:r w:rsidRPr="007418E6">
        <w:commentReference w:id="32"/>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lastRenderedPageBreak/>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lastRenderedPageBreak/>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J. Richardson" w:date="2019-03-21T06:34:00Z" w:initials="AJR">
    <w:p w14:paraId="389A9D55" w14:textId="49B61AD1" w:rsidR="00A139B9" w:rsidRDefault="00A139B9" w:rsidP="00EA39BC">
      <w:pPr>
        <w:pStyle w:val="CommentText"/>
      </w:pPr>
      <w:r>
        <w:rPr>
          <w:rStyle w:val="CommentReference"/>
        </w:rPr>
        <w:annotationRef/>
      </w:r>
      <w:r>
        <w:t>Responding to what? If it’s to climate change, then starting the next paragraph with that would be good</w:t>
      </w:r>
    </w:p>
  </w:comment>
  <w:comment w:id="1" w:author="AJ Smit" w:date="2019-02-18T18:19:00Z" w:initials="Office">
    <w:p w14:paraId="1E92A437" w14:textId="77777777" w:rsidR="00A139B9" w:rsidRDefault="00A139B9" w:rsidP="00EA39BC">
      <w:pPr>
        <w:pStyle w:val="CommentText"/>
      </w:pPr>
      <w:r>
        <w:rPr>
          <w:rStyle w:val="CommentReference"/>
        </w:rPr>
        <w:annotationRef/>
      </w:r>
      <w:r>
        <w:t>Is this change associated with an increase in ‘MHWs’?</w:t>
      </w:r>
    </w:p>
  </w:comment>
  <w:comment w:id="2" w:author="AJ Smit" w:date="2019-04-01T09:41:00Z" w:initials="AJS">
    <w:p w14:paraId="42A6E26F" w14:textId="72ECD2A9" w:rsidR="007418E6" w:rsidRDefault="007418E6" w:rsidP="00EA39BC">
      <w:pPr>
        <w:pStyle w:val="CommentText"/>
      </w:pPr>
      <w:r>
        <w:rPr>
          <w:rStyle w:val="CommentReference"/>
        </w:rPr>
        <w:annotationRef/>
      </w:r>
      <w:r>
        <w:t>How?</w:t>
      </w:r>
    </w:p>
  </w:comment>
  <w:comment w:id="12" w:author="Unknown Author" w:date="2019-02-27T16:05:00Z" w:initials="">
    <w:p w14:paraId="0FDABB53" w14:textId="77777777" w:rsidR="00A139B9" w:rsidRDefault="00A139B9" w:rsidP="00EA39BC">
      <w:r>
        <w:t>But what does permanent mean on the time scale of a human life/research career? The 2011 Western Australia event seems to have “permanently” changed the coastal ecosystem.</w:t>
      </w:r>
    </w:p>
  </w:comment>
  <w:comment w:id="16" w:author="Unknown Author" w:date="2019-02-27T16:03:00Z" w:initials="">
    <w:p w14:paraId="555116FA" w14:textId="77777777" w:rsidR="00A139B9" w:rsidRDefault="00A139B9" w:rsidP="00EA39BC">
      <w:r>
        <w:t xml:space="preserve">Is the Brazil Current responding the same? </w:t>
      </w:r>
    </w:p>
  </w:comment>
  <w:comment w:id="18" w:author="David Schoeman" w:date="2019-02-23T09:00:00Z" w:initials="DS">
    <w:p w14:paraId="22EB4BAA" w14:textId="77777777" w:rsidR="00A139B9" w:rsidRDefault="00A139B9" w:rsidP="00EA39BC">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xml:space="preserve">? I guess it could be </w:t>
      </w:r>
      <w:proofErr w:type="spellStart"/>
      <w:r>
        <w:rPr>
          <w:lang w:bidi="en-US"/>
        </w:rPr>
        <w:t>eaither</w:t>
      </w:r>
      <w:proofErr w:type="spellEnd"/>
      <w:r>
        <w:rPr>
          <w:lang w:bidi="en-US"/>
        </w:rPr>
        <w:t>/both, but not clear here…</w:t>
      </w:r>
    </w:p>
  </w:comment>
  <w:comment w:id="19" w:author="AJ Smit" w:date="2019-02-18T18:19:00Z" w:initials="Office">
    <w:p w14:paraId="37C2803D" w14:textId="77777777" w:rsidR="00A139B9" w:rsidRDefault="00A139B9" w:rsidP="00EA39BC">
      <w:r>
        <w:rPr>
          <w:lang w:bidi="en-US"/>
        </w:rPr>
        <w:t>Is this change associated with an increase in ‘MHWs’?</w:t>
      </w:r>
    </w:p>
  </w:comment>
  <w:comment w:id="27" w:author="AJ Smit" w:date="2019-03-02T20:42:00Z" w:initials="Office">
    <w:p w14:paraId="0C29FA6B" w14:textId="77777777" w:rsidR="007418E6" w:rsidRDefault="007418E6" w:rsidP="00EA39BC">
      <w:pPr>
        <w:pStyle w:val="CommentText"/>
      </w:pPr>
      <w:r>
        <w:rPr>
          <w:rStyle w:val="CommentReference"/>
        </w:rPr>
        <w:annotationRef/>
      </w:r>
      <w:r>
        <w:t>Recalculate these from the data within the MHW masks.</w:t>
      </w:r>
    </w:p>
  </w:comment>
  <w:comment w:id="28" w:author="Anthony J. Richardson" w:date="2019-02-21T17:32:00Z" w:initials="AJR">
    <w:p w14:paraId="41788CD9" w14:textId="77777777" w:rsidR="007418E6" w:rsidRDefault="007418E6" w:rsidP="00EA39BC">
      <w:r>
        <w:rPr>
          <w:lang w:val="en-US" w:bidi="en-US"/>
        </w:rPr>
        <w:t>I think each of your MKE, EKE and movies needs to be in this type of format – i.e. why we did it, and then what we did, to take the reader along with us</w:t>
      </w:r>
    </w:p>
  </w:comment>
  <w:comment w:id="29" w:author="Unknown Author" w:date="2019-02-27T15:31:00Z" w:initials="">
    <w:p w14:paraId="48C04097" w14:textId="77777777" w:rsidR="007418E6" w:rsidRDefault="007418E6" w:rsidP="00EA39BC">
      <w:r>
        <w:t>The legends on the animations need to be held static.</w:t>
      </w:r>
    </w:p>
  </w:comment>
  <w:comment w:id="30" w:author="AJ Smit" w:date="2019-02-28T15:11:00Z" w:initials="Office">
    <w:p w14:paraId="127ABFF1" w14:textId="77777777" w:rsidR="007418E6" w:rsidRDefault="007418E6" w:rsidP="00EA39BC">
      <w:pPr>
        <w:pStyle w:val="CommentText"/>
      </w:pPr>
      <w:r>
        <w:rPr>
          <w:rStyle w:val="CommentReference"/>
        </w:rPr>
        <w:annotationRef/>
      </w:r>
      <w:r>
        <w:t>Hmmm. Okay.</w:t>
      </w:r>
    </w:p>
  </w:comment>
  <w:comment w:id="31" w:author="AJ Smit" w:date="2019-02-19T15:09:00Z" w:initials="Office">
    <w:p w14:paraId="0A224749" w14:textId="77777777" w:rsidR="007418E6" w:rsidRDefault="007418E6" w:rsidP="00EA39BC">
      <w:r>
        <w:rPr>
          <w:lang w:val="en-US" w:bidi="en-US"/>
        </w:rPr>
        <w:t>Not happy about this. I can think of some ways to address this, maybe, but I’d rather invest time in writing now, not a couple more hours of coding.</w:t>
      </w:r>
    </w:p>
  </w:comment>
  <w:comment w:id="32" w:author="Unknown Author" w:date="2019-02-27T15:24:00Z" w:initials="">
    <w:p w14:paraId="601580FA" w14:textId="77777777" w:rsidR="007418E6" w:rsidRDefault="007418E6" w:rsidP="00EA39BC">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A9D55" w15:done="0"/>
  <w15:commentEx w15:paraId="1E92A437" w15:done="0"/>
  <w15:commentEx w15:paraId="42A6E26F" w15:done="0"/>
  <w15:commentEx w15:paraId="0FDABB53" w15:done="0"/>
  <w15:commentEx w15:paraId="555116FA" w15:done="0"/>
  <w15:commentEx w15:paraId="22EB4BAA" w15:done="0"/>
  <w15:commentEx w15:paraId="37C2803D"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A9D55" w16cid:durableId="203DAEF1"/>
  <w16cid:commentId w16cid:paraId="1E92A437" w16cid:durableId="201575AB"/>
  <w16cid:commentId w16cid:paraId="42A6E26F" w16cid:durableId="204C5B52"/>
  <w16cid:commentId w16cid:paraId="0FDABB53" w16cid:durableId="20226FFA"/>
  <w16cid:commentId w16cid:paraId="555116FA" w16cid:durableId="20226FFB"/>
  <w16cid:commentId w16cid:paraId="22EB4BAA" w16cid:durableId="20226FFC"/>
  <w16cid:commentId w16cid:paraId="37C2803D" w16cid:durableId="20226FFD"/>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42DB8" w14:textId="77777777" w:rsidR="003B024A" w:rsidRDefault="003B024A" w:rsidP="00EA39BC">
      <w:r>
        <w:separator/>
      </w:r>
    </w:p>
  </w:endnote>
  <w:endnote w:type="continuationSeparator" w:id="0">
    <w:p w14:paraId="51270A32" w14:textId="77777777" w:rsidR="003B024A" w:rsidRDefault="003B024A"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A139B9" w:rsidRPr="004021D9" w:rsidRDefault="00A139B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A139B9" w:rsidRPr="00B547A9" w:rsidRDefault="00A139B9"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A139B9" w:rsidRPr="004021D9" w:rsidRDefault="00A139B9"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A139B9" w:rsidRDefault="00A139B9"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51A23" w14:textId="77777777" w:rsidR="003B024A" w:rsidRDefault="003B024A" w:rsidP="00EA39BC">
      <w:r>
        <w:separator/>
      </w:r>
    </w:p>
  </w:footnote>
  <w:footnote w:type="continuationSeparator" w:id="0">
    <w:p w14:paraId="66EFA66B" w14:textId="77777777" w:rsidR="003B024A" w:rsidRDefault="003B024A"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A139B9" w:rsidRDefault="00A139B9" w:rsidP="00EA39BC">
    <w:pPr>
      <w:pStyle w:val="Header"/>
    </w:pPr>
    <w:r>
      <w:tab/>
    </w:r>
  </w:p>
  <w:tbl>
    <w:tblPr>
      <w:tblW w:w="13110" w:type="dxa"/>
      <w:tblInd w:w="738" w:type="dxa"/>
      <w:tblLook w:val="04A0" w:firstRow="1" w:lastRow="0" w:firstColumn="1" w:lastColumn="0" w:noHBand="0" w:noVBand="1"/>
    </w:tblPr>
    <w:tblGrid>
      <w:gridCol w:w="6840"/>
      <w:gridCol w:w="6270"/>
    </w:tblGrid>
    <w:tr w:rsidR="00A139B9" w:rsidRPr="00A96E1E" w14:paraId="6D4FCB04" w14:textId="77777777" w:rsidTr="00516D77">
      <w:trPr>
        <w:trHeight w:val="900"/>
      </w:trPr>
      <w:tc>
        <w:tcPr>
          <w:tcW w:w="6840" w:type="dxa"/>
          <w:shd w:val="clear" w:color="auto" w:fill="auto"/>
        </w:tcPr>
        <w:p w14:paraId="1E6A53EC" w14:textId="77777777" w:rsidR="00A139B9" w:rsidRPr="00A96E1E" w:rsidRDefault="00A139B9"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A139B9" w:rsidRDefault="00A139B9" w:rsidP="00EA39BC">
          <w:r w:rsidRPr="00A96E1E">
            <w:t xml:space="preserve">Manuscript </w:t>
          </w:r>
        </w:p>
        <w:p w14:paraId="6BDBE0E6" w14:textId="77777777" w:rsidR="00A139B9" w:rsidRPr="00A96E1E" w:rsidRDefault="00A139B9" w:rsidP="00EA39BC">
          <w:pPr>
            <w:rPr>
              <w:sz w:val="36"/>
            </w:rPr>
          </w:pPr>
          <w:r w:rsidRPr="00A96E1E">
            <w:t>Template</w:t>
          </w:r>
        </w:p>
      </w:tc>
    </w:tr>
  </w:tbl>
  <w:p w14:paraId="292C5536" w14:textId="77777777" w:rsidR="00A139B9" w:rsidRDefault="00A139B9"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222C7"/>
    <w:rsid w:val="0003674A"/>
    <w:rsid w:val="00037583"/>
    <w:rsid w:val="0004134A"/>
    <w:rsid w:val="00050A43"/>
    <w:rsid w:val="00063D23"/>
    <w:rsid w:val="000A0CD9"/>
    <w:rsid w:val="000B2C20"/>
    <w:rsid w:val="000B7F0C"/>
    <w:rsid w:val="000C0E10"/>
    <w:rsid w:val="00143D0F"/>
    <w:rsid w:val="00157597"/>
    <w:rsid w:val="00161C59"/>
    <w:rsid w:val="001662E0"/>
    <w:rsid w:val="001B3B1A"/>
    <w:rsid w:val="001B5133"/>
    <w:rsid w:val="001B7ADA"/>
    <w:rsid w:val="002027EB"/>
    <w:rsid w:val="00202BD8"/>
    <w:rsid w:val="002056A7"/>
    <w:rsid w:val="00223F87"/>
    <w:rsid w:val="00237B12"/>
    <w:rsid w:val="00244F9B"/>
    <w:rsid w:val="00261703"/>
    <w:rsid w:val="00266FB0"/>
    <w:rsid w:val="00282E2A"/>
    <w:rsid w:val="002F4616"/>
    <w:rsid w:val="003849B9"/>
    <w:rsid w:val="00385C8D"/>
    <w:rsid w:val="003B024A"/>
    <w:rsid w:val="003B6753"/>
    <w:rsid w:val="003C357C"/>
    <w:rsid w:val="003C63AD"/>
    <w:rsid w:val="004021D9"/>
    <w:rsid w:val="00402374"/>
    <w:rsid w:val="0041521B"/>
    <w:rsid w:val="00454396"/>
    <w:rsid w:val="00490034"/>
    <w:rsid w:val="004A10BE"/>
    <w:rsid w:val="004A4A54"/>
    <w:rsid w:val="004B065E"/>
    <w:rsid w:val="004C6454"/>
    <w:rsid w:val="004C6CE1"/>
    <w:rsid w:val="004E0BEF"/>
    <w:rsid w:val="004F57BD"/>
    <w:rsid w:val="0050779E"/>
    <w:rsid w:val="00516D77"/>
    <w:rsid w:val="005341F3"/>
    <w:rsid w:val="00534E77"/>
    <w:rsid w:val="00546DBF"/>
    <w:rsid w:val="00556452"/>
    <w:rsid w:val="005677D3"/>
    <w:rsid w:val="00570CCF"/>
    <w:rsid w:val="005B36C0"/>
    <w:rsid w:val="005C6F04"/>
    <w:rsid w:val="005F5A8D"/>
    <w:rsid w:val="0064261D"/>
    <w:rsid w:val="006772C0"/>
    <w:rsid w:val="00677536"/>
    <w:rsid w:val="0069612A"/>
    <w:rsid w:val="006E2E84"/>
    <w:rsid w:val="006F445B"/>
    <w:rsid w:val="0072653A"/>
    <w:rsid w:val="007418E6"/>
    <w:rsid w:val="0075605E"/>
    <w:rsid w:val="00773497"/>
    <w:rsid w:val="00796F86"/>
    <w:rsid w:val="007E1FBC"/>
    <w:rsid w:val="00800B9E"/>
    <w:rsid w:val="00845597"/>
    <w:rsid w:val="008573F1"/>
    <w:rsid w:val="00863890"/>
    <w:rsid w:val="008645E8"/>
    <w:rsid w:val="00865346"/>
    <w:rsid w:val="008707B4"/>
    <w:rsid w:val="00881A4A"/>
    <w:rsid w:val="008A2BA0"/>
    <w:rsid w:val="008B601B"/>
    <w:rsid w:val="008D7751"/>
    <w:rsid w:val="0090405E"/>
    <w:rsid w:val="00912AF5"/>
    <w:rsid w:val="00925402"/>
    <w:rsid w:val="0093615D"/>
    <w:rsid w:val="00943D39"/>
    <w:rsid w:val="00960319"/>
    <w:rsid w:val="009A6229"/>
    <w:rsid w:val="009D10A3"/>
    <w:rsid w:val="00A03783"/>
    <w:rsid w:val="00A04CD2"/>
    <w:rsid w:val="00A058A2"/>
    <w:rsid w:val="00A139B9"/>
    <w:rsid w:val="00A16C38"/>
    <w:rsid w:val="00A4424B"/>
    <w:rsid w:val="00A9311D"/>
    <w:rsid w:val="00A96E1E"/>
    <w:rsid w:val="00AB5717"/>
    <w:rsid w:val="00AC1076"/>
    <w:rsid w:val="00AC2069"/>
    <w:rsid w:val="00AC364C"/>
    <w:rsid w:val="00AE6F15"/>
    <w:rsid w:val="00AF6017"/>
    <w:rsid w:val="00B151F8"/>
    <w:rsid w:val="00B33C12"/>
    <w:rsid w:val="00B373A8"/>
    <w:rsid w:val="00B43C16"/>
    <w:rsid w:val="00B547A9"/>
    <w:rsid w:val="00B9057C"/>
    <w:rsid w:val="00B949F9"/>
    <w:rsid w:val="00BF179F"/>
    <w:rsid w:val="00C06E8D"/>
    <w:rsid w:val="00C52AE4"/>
    <w:rsid w:val="00C75F48"/>
    <w:rsid w:val="00C917E9"/>
    <w:rsid w:val="00C97201"/>
    <w:rsid w:val="00CB31D5"/>
    <w:rsid w:val="00CE3B9E"/>
    <w:rsid w:val="00CE6AA7"/>
    <w:rsid w:val="00CF5BE5"/>
    <w:rsid w:val="00D57978"/>
    <w:rsid w:val="00D913D9"/>
    <w:rsid w:val="00D92A65"/>
    <w:rsid w:val="00DB67CA"/>
    <w:rsid w:val="00DF2EEA"/>
    <w:rsid w:val="00DF6E28"/>
    <w:rsid w:val="00E158CC"/>
    <w:rsid w:val="00E30EAD"/>
    <w:rsid w:val="00E76322"/>
    <w:rsid w:val="00E81A31"/>
    <w:rsid w:val="00EA39BC"/>
    <w:rsid w:val="00EA75EC"/>
    <w:rsid w:val="00EB3AC7"/>
    <w:rsid w:val="00EB6D47"/>
    <w:rsid w:val="00EC3451"/>
    <w:rsid w:val="00EC5A6C"/>
    <w:rsid w:val="00EC650F"/>
    <w:rsid w:val="00EC6675"/>
    <w:rsid w:val="00ED3846"/>
    <w:rsid w:val="00ED3CC6"/>
    <w:rsid w:val="00F01E4D"/>
    <w:rsid w:val="00F02265"/>
    <w:rsid w:val="00F505A3"/>
    <w:rsid w:val="00F62B91"/>
    <w:rsid w:val="00F679E5"/>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99D8D0-1EDB-9842-B415-E4532F5B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21586</Words>
  <Characters>116350</Characters>
  <Application>Microsoft Office Word</Application>
  <DocSecurity>0</DocSecurity>
  <Lines>2115</Lines>
  <Paragraphs>757</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11</cp:revision>
  <cp:lastPrinted>2014-09-16T13:46:00Z</cp:lastPrinted>
  <dcterms:created xsi:type="dcterms:W3CDTF">2019-03-24T11:52:00Z</dcterms:created>
  <dcterms:modified xsi:type="dcterms:W3CDTF">2019-04-01T08:16:00Z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