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Practical Exam Assessment Instructions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Assessment Instructions for BCB744 Practical Exam (2025)</w:t>
      </w:r>
    </w:p>
    <w:bookmarkStart w:id="20" w:name="input"/>
    <w:p>
      <w:pPr>
        <w:pStyle w:val="Heading2"/>
      </w:pPr>
      <w:r>
        <w:t xml:space="preserve">INPUT</w:t>
      </w:r>
    </w:p>
    <w:p>
      <w:pPr>
        <w:pStyle w:val="Compact"/>
        <w:numPr>
          <w:ilvl w:val="0"/>
          <w:numId w:val="1001"/>
        </w:numPr>
      </w:pPr>
      <w:r>
        <w:t xml:space="preserve">The rubric is defined in BCB744_Prac_Exam_Rubric_2025.pdf (attached once only at the start).</w:t>
      </w:r>
    </w:p>
    <w:p>
      <w:pPr>
        <w:pStyle w:val="Compact"/>
        <w:numPr>
          <w:ilvl w:val="0"/>
          <w:numId w:val="1001"/>
        </w:numPr>
      </w:pPr>
      <w:r>
        <w:t xml:space="preserve">The worked out answers which will guide the assessment in BCB744_Biostats_Proac_Exam_2025.pdf (attached once at the start)</w:t>
      </w:r>
    </w:p>
    <w:p>
      <w:pPr>
        <w:pStyle w:val="Compact"/>
        <w:numPr>
          <w:ilvl w:val="0"/>
          <w:numId w:val="1001"/>
        </w:numPr>
      </w:pPr>
      <w:r>
        <w:t xml:space="preserve">Each student’s response will be in a .html, .docx, or .pdf output file.</w:t>
      </w:r>
    </w:p>
    <w:p>
      <w:pPr>
        <w:pStyle w:val="Compact"/>
        <w:numPr>
          <w:ilvl w:val="0"/>
          <w:numId w:val="1001"/>
        </w:numPr>
      </w:pPr>
      <w:r>
        <w:t xml:space="preserve">Assessment criteria apply per task and question, with overall weightings per task provided.</w:t>
      </w:r>
    </w:p>
    <w:bookmarkEnd w:id="20"/>
    <w:bookmarkStart w:id="25" w:name="step-by-step-assessment-procedure"/>
    <w:p>
      <w:pPr>
        <w:pStyle w:val="Heading2"/>
      </w:pPr>
      <w:r>
        <w:t xml:space="preserve">STEP-BY-STEP ASSESSMENT PROCEDURE</w:t>
      </w:r>
    </w:p>
    <w:bookmarkStart w:id="21" w:name="Xe9e1eb043d6432809677ae80455547c6d1d3a38"/>
    <w:p>
      <w:pPr>
        <w:pStyle w:val="Heading3"/>
      </w:pPr>
      <w:r>
        <w:t xml:space="preserve">STEP 1: Parse and identify the student file</w:t>
      </w:r>
    </w:p>
    <w:p>
      <w:pPr>
        <w:pStyle w:val="Compact"/>
        <w:numPr>
          <w:ilvl w:val="0"/>
          <w:numId w:val="1002"/>
        </w:numPr>
      </w:pPr>
      <w:r>
        <w:t xml:space="preserve">Read the student answer file.</w:t>
      </w:r>
    </w:p>
    <w:p>
      <w:pPr>
        <w:pStyle w:val="Compact"/>
        <w:numPr>
          <w:ilvl w:val="0"/>
          <w:numId w:val="1002"/>
        </w:numPr>
      </w:pPr>
      <w:r>
        <w:t xml:space="preserve">Identify and extract answers corresponding to:</w:t>
      </w:r>
    </w:p>
    <w:p>
      <w:pPr>
        <w:pStyle w:val="Compact"/>
        <w:numPr>
          <w:ilvl w:val="0"/>
          <w:numId w:val="1003"/>
        </w:numPr>
      </w:pPr>
      <w:r>
        <w:t xml:space="preserve">Task 1 (with subcomponents 1.1 and 1.2)</w:t>
      </w:r>
    </w:p>
    <w:p>
      <w:pPr>
        <w:pStyle w:val="Compact"/>
        <w:numPr>
          <w:ilvl w:val="0"/>
          <w:numId w:val="1003"/>
        </w:numPr>
      </w:pPr>
      <w:r>
        <w:t xml:space="preserve">Task 2.1 (1 and 2), 2.2 (1, 2, 3), and 2.3</w:t>
      </w:r>
    </w:p>
    <w:p>
      <w:pPr>
        <w:pStyle w:val="Compact"/>
        <w:numPr>
          <w:ilvl w:val="0"/>
          <w:numId w:val="1003"/>
        </w:numPr>
      </w:pPr>
      <w:r>
        <w:t xml:space="preserve">Task 3 (1–4)</w:t>
      </w:r>
    </w:p>
    <w:p>
      <w:pPr>
        <w:pStyle w:val="Compact"/>
        <w:numPr>
          <w:ilvl w:val="0"/>
          <w:numId w:val="1003"/>
        </w:numPr>
      </w:pPr>
      <w:r>
        <w:t xml:space="preserve">Task 4.1 and 4.2</w:t>
      </w:r>
    </w:p>
    <w:p>
      <w:pPr>
        <w:pStyle w:val="Compact"/>
        <w:numPr>
          <w:ilvl w:val="0"/>
          <w:numId w:val="1003"/>
        </w:numPr>
      </w:pPr>
      <w:r>
        <w:t xml:space="preserve">Task 5.1 through 5.5</w:t>
      </w:r>
    </w:p>
    <w:p>
      <w:pPr>
        <w:pStyle w:val="Compact"/>
        <w:numPr>
          <w:ilvl w:val="0"/>
          <w:numId w:val="1003"/>
        </w:numPr>
      </w:pPr>
      <w:r>
        <w:t xml:space="preserve">Task 6 (Write-up)</w:t>
      </w:r>
    </w:p>
    <w:bookmarkEnd w:id="21"/>
    <w:bookmarkStart w:id="22" w:name="X50a02ba3508b86bb3139e24cb7039a546a0a3c8"/>
    <w:p>
      <w:pPr>
        <w:pStyle w:val="Heading3"/>
      </w:pPr>
      <w:r>
        <w:t xml:space="preserve">STEP 2: Evaluate each component using the rubric</w:t>
      </w:r>
    </w:p>
    <w:p>
      <w:pPr>
        <w:pStyle w:val="FirstParagraph"/>
      </w:pPr>
      <w:r>
        <w:t xml:space="preserve">For each sub-question or component:</w:t>
      </w:r>
    </w:p>
    <w:p>
      <w:pPr>
        <w:pStyle w:val="Compact"/>
        <w:numPr>
          <w:ilvl w:val="0"/>
          <w:numId w:val="1004"/>
        </w:numPr>
      </w:pPr>
      <w:r>
        <w:t xml:space="preserve">Apply the rubric section relevant to that task:</w:t>
      </w:r>
    </w:p>
    <w:p>
      <w:pPr>
        <w:pStyle w:val="Compact"/>
        <w:numPr>
          <w:ilvl w:val="0"/>
          <w:numId w:val="1005"/>
        </w:numPr>
      </w:pPr>
      <w:r>
        <w:t xml:space="preserve">Use the four assessment dimensions:</w:t>
      </w:r>
    </w:p>
    <w:p>
      <w:pPr>
        <w:pStyle w:val="Compact"/>
        <w:numPr>
          <w:ilvl w:val="1"/>
          <w:numId w:val="1006"/>
        </w:numPr>
      </w:pPr>
      <w:r>
        <w:t xml:space="preserve">Technical Accuracy (50%)</w:t>
      </w:r>
    </w:p>
    <w:p>
      <w:pPr>
        <w:pStyle w:val="Compact"/>
        <w:numPr>
          <w:ilvl w:val="1"/>
          <w:numId w:val="1006"/>
        </w:numPr>
      </w:pPr>
      <w:r>
        <w:t xml:space="preserve">Depth of Analysis (20%)</w:t>
      </w:r>
    </w:p>
    <w:p>
      <w:pPr>
        <w:pStyle w:val="Compact"/>
        <w:numPr>
          <w:ilvl w:val="1"/>
          <w:numId w:val="1006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Critical Thinking (10%)</w:t>
      </w:r>
    </w:p>
    <w:p>
      <w:pPr>
        <w:pStyle w:val="Compact"/>
        <w:numPr>
          <w:ilvl w:val="0"/>
          <w:numId w:val="1005"/>
        </w:numPr>
      </w:pPr>
      <w:r>
        <w:t xml:space="preserve">Each is scored on a 0–100 scale for that component.</w:t>
      </w:r>
    </w:p>
    <w:p>
      <w:pPr>
        <w:pStyle w:val="Compact"/>
        <w:numPr>
          <w:ilvl w:val="0"/>
          <w:numId w:val="1007"/>
        </w:numPr>
      </w:pPr>
      <w:r>
        <w:t xml:space="preserve">Multiply each score by the weighting for that component as defined in the rubric:</w:t>
      </w:r>
    </w:p>
    <w:p>
      <w:pPr>
        <w:pStyle w:val="Compact"/>
        <w:numPr>
          <w:ilvl w:val="0"/>
          <w:numId w:val="1008"/>
        </w:numPr>
      </w:pPr>
      <w:r>
        <w:t xml:space="preserve">E.g., Task 1.1 is 50% of Task 1 (worth 10%), so max contribution is 5 points.</w:t>
      </w:r>
    </w:p>
    <w:p>
      <w:pPr>
        <w:pStyle w:val="Compact"/>
        <w:numPr>
          <w:ilvl w:val="0"/>
          <w:numId w:val="1008"/>
        </w:numPr>
      </w:pPr>
      <w:r>
        <w:t xml:space="preserve">Task 5.3 is one of five sub-tasks in Task 5 (30% total), so it’s ~6%.</w:t>
      </w:r>
    </w:p>
    <w:p>
      <w:pPr>
        <w:pStyle w:val="Compact"/>
        <w:numPr>
          <w:ilvl w:val="0"/>
          <w:numId w:val="1009"/>
        </w:numPr>
      </w:pPr>
      <w:r>
        <w:t xml:space="preserve">Tally sub-task scores to compute the task total (e.g., Task 3 might yield 17.4/20).</w:t>
      </w:r>
    </w:p>
    <w:p>
      <w:pPr>
        <w:pStyle w:val="Compact"/>
        <w:numPr>
          <w:ilvl w:val="0"/>
          <w:numId w:val="1009"/>
        </w:numPr>
      </w:pPr>
      <w:r>
        <w:t xml:space="preserve">Round task scores to one decimal place.</w:t>
      </w:r>
    </w:p>
    <w:bookmarkEnd w:id="22"/>
    <w:bookmarkStart w:id="23" w:name="step-3-write-feedback-and-save-to-.txt"/>
    <w:p>
      <w:pPr>
        <w:pStyle w:val="Heading3"/>
      </w:pPr>
      <w:r>
        <w:t xml:space="preserve">STEP 3: Write feedback and save to .txt</w:t>
      </w:r>
    </w:p>
    <w:p>
      <w:pPr>
        <w:pStyle w:val="FirstParagraph"/>
      </w:pPr>
      <w:r>
        <w:t xml:space="preserve">For each student, generate a .txt file named identically to their input file (but with .txt extension):</w:t>
      </w:r>
    </w:p>
    <w:p>
      <w:pPr>
        <w:pStyle w:val="BodyText"/>
      </w:pPr>
      <w:r>
        <w:t xml:space="preserve">A. Feedback Report Structure</w:t>
      </w:r>
    </w:p>
    <w:p>
      <w:pPr>
        <w:pStyle w:val="Compact"/>
        <w:numPr>
          <w:ilvl w:val="0"/>
          <w:numId w:val="1010"/>
        </w:numPr>
      </w:pPr>
      <w:r>
        <w:t xml:space="preserve">Narrative feedback for each task (Tasks 1–6)</w:t>
      </w:r>
    </w:p>
    <w:p>
      <w:pPr>
        <w:pStyle w:val="Compact"/>
        <w:numPr>
          <w:ilvl w:val="0"/>
          <w:numId w:val="1011"/>
        </w:numPr>
      </w:pPr>
      <w:r>
        <w:t xml:space="preserve">One paragraph per task.</w:t>
      </w:r>
    </w:p>
    <w:p>
      <w:pPr>
        <w:pStyle w:val="Compact"/>
        <w:numPr>
          <w:ilvl w:val="0"/>
          <w:numId w:val="1011"/>
        </w:numPr>
      </w:pPr>
      <w:r>
        <w:t xml:space="preserve">Highlight:</w:t>
      </w:r>
    </w:p>
    <w:p>
      <w:pPr>
        <w:pStyle w:val="Compact"/>
        <w:numPr>
          <w:ilvl w:val="1"/>
          <w:numId w:val="1012"/>
        </w:numPr>
      </w:pPr>
      <w:r>
        <w:t xml:space="preserve">Strengths (e.g., well-structured code, clear visualisations)</w:t>
      </w:r>
    </w:p>
    <w:p>
      <w:pPr>
        <w:pStyle w:val="Compact"/>
        <w:numPr>
          <w:ilvl w:val="1"/>
          <w:numId w:val="1012"/>
        </w:numPr>
      </w:pPr>
      <w:r>
        <w:t xml:space="preserve">Weaknesses (e.g., incorrect model use, insufficient explanation)</w:t>
      </w:r>
    </w:p>
    <w:p>
      <w:pPr>
        <w:pStyle w:val="Compact"/>
        <w:numPr>
          <w:ilvl w:val="1"/>
          <w:numId w:val="1012"/>
        </w:numPr>
      </w:pPr>
      <w:r>
        <w:t xml:space="preserve">Areas for improvement (e.g., mention VIF or DW test next time)</w:t>
      </w:r>
    </w:p>
    <w:p>
      <w:pPr>
        <w:pStyle w:val="Compact"/>
        <w:numPr>
          <w:ilvl w:val="1"/>
          <w:numId w:val="1012"/>
        </w:numPr>
      </w:pPr>
      <w:r>
        <w:t xml:space="preserve">Must be constructive and written for student learning.</w:t>
      </w:r>
    </w:p>
    <w:p>
      <w:pPr>
        <w:pStyle w:val="Compact"/>
        <w:numPr>
          <w:ilvl w:val="0"/>
          <w:numId w:val="1013"/>
        </w:numPr>
      </w:pPr>
      <w:r>
        <w:t xml:space="preserve">Marks per component</w:t>
      </w:r>
    </w:p>
    <w:p>
      <w:pPr>
        <w:pStyle w:val="Compact"/>
        <w:numPr>
          <w:ilvl w:val="0"/>
          <w:numId w:val="1014"/>
        </w:numPr>
      </w:pPr>
      <w:r>
        <w:t xml:space="preserve">Use format: Task 1.1: 43/50 or Task 2.2 (2): 12/20</w:t>
      </w:r>
    </w:p>
    <w:p>
      <w:pPr>
        <w:pStyle w:val="Compact"/>
        <w:numPr>
          <w:ilvl w:val="0"/>
          <w:numId w:val="1014"/>
        </w:numPr>
      </w:pPr>
      <w:r>
        <w:t xml:space="preserve">One line per sub-question (lowest possible granularity)</w:t>
      </w:r>
    </w:p>
    <w:p>
      <w:pPr>
        <w:pStyle w:val="Compact"/>
        <w:numPr>
          <w:ilvl w:val="0"/>
          <w:numId w:val="1015"/>
        </w:numPr>
      </w:pPr>
      <w:r>
        <w:t xml:space="preserve">Task total</w:t>
      </w:r>
    </w:p>
    <w:p>
      <w:pPr>
        <w:pStyle w:val="Compact"/>
        <w:numPr>
          <w:ilvl w:val="0"/>
          <w:numId w:val="1016"/>
        </w:numPr>
      </w:pPr>
      <w:r>
        <w:t xml:space="preserve">Use format: Task 1: 8.6/10</w:t>
      </w:r>
    </w:p>
    <w:p>
      <w:pPr>
        <w:pStyle w:val="Compact"/>
        <w:numPr>
          <w:ilvl w:val="0"/>
          <w:numId w:val="1017"/>
        </w:numPr>
      </w:pPr>
      <w:r>
        <w:t xml:space="preserve">Final total</w:t>
      </w:r>
    </w:p>
    <w:p>
      <w:pPr>
        <w:pStyle w:val="Compact"/>
        <w:numPr>
          <w:ilvl w:val="0"/>
          <w:numId w:val="1018"/>
        </w:numPr>
      </w:pPr>
      <w:r>
        <w:t xml:space="preserve">Use format: Total mark: 84.5/100</w:t>
      </w:r>
    </w:p>
    <w:bookmarkEnd w:id="23"/>
    <w:bookmarkStart w:id="24" w:name="step-4-generate-.csv-with-marks"/>
    <w:p>
      <w:pPr>
        <w:pStyle w:val="Heading3"/>
      </w:pPr>
      <w:r>
        <w:t xml:space="preserve">STEP 4: Generate .csv with marks</w:t>
      </w:r>
    </w:p>
    <w:p>
      <w:pPr>
        <w:pStyle w:val="FirstParagraph"/>
      </w:pPr>
      <w:r>
        <w:t xml:space="preserve">For the same student, create a .csv file (named identically but with .csv extension) with the following structure:</w:t>
      </w:r>
    </w:p>
    <w:p>
      <w:pPr>
        <w:pStyle w:val="BodyText"/>
      </w:pPr>
      <w:r>
        <w:t xml:space="preserve">Task Mark</w:t>
      </w:r>
      <w:r>
        <w:t xml:space="preserve"> </w:t>
      </w:r>
      <w:r>
        <w:t xml:space="preserve">Task 1 8.6</w:t>
      </w:r>
      <w:r>
        <w:t xml:space="preserve"> </w:t>
      </w:r>
      <w:r>
        <w:t xml:space="preserve">Task 2 9.2</w:t>
      </w:r>
      <w:r>
        <w:t xml:space="preserve"> </w:t>
      </w:r>
      <w:r>
        <w:t xml:space="preserve">Task 3 17.4</w:t>
      </w:r>
      <w:r>
        <w:t xml:space="preserve"> </w:t>
      </w:r>
      <w:r>
        <w:t xml:space="preserve">Task 4 9.0</w:t>
      </w:r>
      <w:r>
        <w:t xml:space="preserve"> </w:t>
      </w:r>
      <w:r>
        <w:t xml:space="preserve">Task 5 27.0</w:t>
      </w:r>
      <w:r>
        <w:t xml:space="preserve"> </w:t>
      </w:r>
      <w:r>
        <w:t xml:space="preserve">Task 6 9.3</w:t>
      </w:r>
      <w:r>
        <w:t xml:space="preserve"> </w:t>
      </w:r>
      <w:r>
        <w:t xml:space="preserve">Total 80.5</w:t>
      </w:r>
    </w:p>
    <w:bookmarkEnd w:id="24"/>
    <w:bookmarkEnd w:id="25"/>
    <w:bookmarkStart w:id="26" w:name="additional-guideline-for-consistency"/>
    <w:p>
      <w:pPr>
        <w:pStyle w:val="Heading2"/>
      </w:pPr>
      <w:r>
        <w:t xml:space="preserve">ADDITIONAL GUIDELINE FOR CONSISTENCY</w:t>
      </w:r>
    </w:p>
    <w:p>
      <w:pPr>
        <w:pStyle w:val="Compact"/>
        <w:numPr>
          <w:ilvl w:val="0"/>
          <w:numId w:val="1019"/>
        </w:numPr>
      </w:pPr>
      <w:r>
        <w:t xml:space="preserve">Use the same rubric for all students.</w:t>
      </w:r>
    </w:p>
    <w:p>
      <w:pPr>
        <w:pStyle w:val="Compact"/>
        <w:numPr>
          <w:ilvl w:val="0"/>
          <w:numId w:val="1019"/>
        </w:numPr>
      </w:pPr>
      <w:r>
        <w:t xml:space="preserve">Apply point deductions proportionally across the four dimensions of the rubric.</w:t>
      </w:r>
    </w:p>
    <w:p>
      <w:pPr>
        <w:pStyle w:val="Compact"/>
        <w:numPr>
          <w:ilvl w:val="0"/>
          <w:numId w:val="1019"/>
        </w:numPr>
      </w:pPr>
      <w:r>
        <w:t xml:space="preserve">Do not penalise for choices beyond the scope of the taught material (e.g., not using mixed models).</w:t>
      </w:r>
    </w:p>
    <w:p>
      <w:pPr>
        <w:pStyle w:val="Compact"/>
        <w:numPr>
          <w:ilvl w:val="0"/>
          <w:numId w:val="1019"/>
        </w:numPr>
      </w:pPr>
      <w:r>
        <w:t xml:space="preserve">Award partial marks for attempts that demonstrate correct reasoning, even if syntax is flawed.</w:t>
      </w:r>
    </w:p>
    <w:p>
      <w:pPr>
        <w:pStyle w:val="Compact"/>
        <w:numPr>
          <w:ilvl w:val="0"/>
          <w:numId w:val="1019"/>
        </w:numPr>
      </w:pPr>
      <w:r>
        <w:t xml:space="preserve">Always refer to the original</w:t>
      </w:r>
      <w:r>
        <w:t xml:space="preserve"> </w:t>
      </w:r>
      <w:r>
        <w:t xml:space="preserve">“Notes to Assessor”</w:t>
      </w:r>
      <w:r>
        <w:t xml:space="preserve"> </w:t>
      </w:r>
      <w:r>
        <w:t xml:space="preserve">where included for guidance on expected answers.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Output Type Content:</w:t>
      </w:r>
    </w:p>
    <w:p>
      <w:pPr>
        <w:pStyle w:val="Compact"/>
        <w:numPr>
          <w:ilvl w:val="0"/>
          <w:numId w:val="1020"/>
        </w:numPr>
      </w:pPr>
      <w:r>
        <w:t xml:space="preserve">.txt Narrative feedback, component marks, task marks, total mark</w:t>
      </w:r>
    </w:p>
    <w:p>
      <w:pPr>
        <w:pStyle w:val="Compact"/>
        <w:numPr>
          <w:ilvl w:val="0"/>
          <w:numId w:val="1020"/>
        </w:numPr>
      </w:pPr>
      <w:r>
        <w:t xml:space="preserve">.csv Tabular summary of marks per task + total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Practical Exam Assessment Instructions (2025)</dc:title>
  <dc:creator>Smit, A. J.</dc:creator>
  <dc:language>en-GB</dc:language>
  <cp:keywords/>
  <dcterms:created xsi:type="dcterms:W3CDTF">2025-07-20T16:49:32Z</dcterms:created>
  <dcterms:modified xsi:type="dcterms:W3CDTF">2025-07-20T16:49:32Z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