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Rubric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General Structure of the Rubric</w:t>
      </w:r>
    </w:p>
    <w:p>
      <w:pPr>
        <w:pStyle w:val="BodyText"/>
      </w:pPr>
      <w:r>
        <w:t xml:space="preserve">Each Task is evaluated under the following axes:</w:t>
      </w:r>
    </w:p>
    <w:p>
      <w:pPr>
        <w:pStyle w:val="Compact"/>
        <w:numPr>
          <w:ilvl w:val="0"/>
          <w:numId w:val="1001"/>
        </w:numPr>
      </w:pPr>
      <w:r>
        <w:t xml:space="preserve">Technical Accuracy (50%)</w:t>
      </w:r>
    </w:p>
    <w:p>
      <w:pPr>
        <w:pStyle w:val="Compact"/>
        <w:numPr>
          <w:ilvl w:val="0"/>
          <w:numId w:val="1001"/>
        </w:numPr>
      </w:pPr>
      <w:r>
        <w:t xml:space="preserve">Depth of Analysis (20%)</w:t>
      </w:r>
    </w:p>
    <w:p>
      <w:pPr>
        <w:pStyle w:val="Compact"/>
        <w:numPr>
          <w:ilvl w:val="0"/>
          <w:numId w:val="1001"/>
        </w:numPr>
      </w:pPr>
      <w:r>
        <w:t xml:space="preserve">Clarity and Communication (20%)</w:t>
      </w:r>
    </w:p>
    <w:p>
      <w:pPr>
        <w:pStyle w:val="Compact"/>
        <w:numPr>
          <w:ilvl w:val="0"/>
          <w:numId w:val="1001"/>
        </w:numPr>
      </w:pPr>
      <w:r>
        <w:t xml:space="preserve">Critical Thinking (10%)</w:t>
      </w:r>
    </w:p>
    <w:p>
      <w:pPr>
        <w:pStyle w:val="FirstParagraph"/>
      </w:pPr>
      <w:r>
        <w:t xml:space="preserve">Each subcomponent is marked on a 0–100 scale, then scaled to its proportion of the task weight. For example, Task 5 is worth 30% of the total mark, so a sub-question like 5.1 (one of five) may contribute up to 6% if evenly weighted.</w:t>
      </w:r>
    </w:p>
    <w:bookmarkStart w:id="20" w:name="task-1-initial-processing-10"/>
    <w:p>
      <w:pPr>
        <w:pStyle w:val="Heading2"/>
      </w:pPr>
      <w:r>
        <w:t xml:space="preserve">Task 1: Initial Processing [10%]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02"/>
        </w:numPr>
      </w:pPr>
      <w:r>
        <w:t xml:space="preserve">1.1 Extraction and Restructuring (50%)</w:t>
      </w:r>
    </w:p>
    <w:p>
      <w:pPr>
        <w:pStyle w:val="Compact"/>
        <w:numPr>
          <w:ilvl w:val="0"/>
          <w:numId w:val="1002"/>
        </w:numPr>
      </w:pPr>
      <w:r>
        <w:t xml:space="preserve">1.2 Conversion and Summarisation (50%)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03"/>
        </w:numPr>
      </w:pPr>
      <w:r>
        <w:t xml:space="preserve">Technical Accuracy (50%)</w:t>
      </w:r>
    </w:p>
    <w:p>
      <w:pPr>
        <w:pStyle w:val="Compact"/>
        <w:numPr>
          <w:ilvl w:val="1"/>
          <w:numId w:val="1004"/>
        </w:numPr>
      </w:pPr>
      <w:r>
        <w:t xml:space="preserve">Correct unpacking of NetCDF variables (names, dimensionality): 15%</w:t>
      </w:r>
    </w:p>
    <w:p>
      <w:pPr>
        <w:pStyle w:val="Compact"/>
        <w:numPr>
          <w:ilvl w:val="1"/>
          <w:numId w:val="1004"/>
        </w:numPr>
      </w:pPr>
      <w:r>
        <w:t xml:space="preserve">Time conversion handled correctly (POSIX timestamps): 10%</w:t>
      </w:r>
    </w:p>
    <w:p>
      <w:pPr>
        <w:pStyle w:val="Compact"/>
        <w:numPr>
          <w:ilvl w:val="1"/>
          <w:numId w:val="1004"/>
        </w:numPr>
      </w:pPr>
      <w:r>
        <w:t xml:space="preserve">Data reshaped into appropriate long format: 15%</w:t>
      </w:r>
    </w:p>
    <w:p>
      <w:pPr>
        <w:pStyle w:val="Compact"/>
        <w:numPr>
          <w:ilvl w:val="1"/>
          <w:numId w:val="1004"/>
        </w:numPr>
      </w:pPr>
      <w:r>
        <w:t xml:space="preserve">Presence of appropriate columns (year, quarter, etc.): 10%</w:t>
      </w:r>
    </w:p>
    <w:p>
      <w:pPr>
        <w:pStyle w:val="Compact"/>
        <w:numPr>
          <w:ilvl w:val="0"/>
          <w:numId w:val="1003"/>
        </w:numPr>
      </w:pPr>
      <w:r>
        <w:t xml:space="preserve">Depth of Analysis (20%)</w:t>
      </w:r>
    </w:p>
    <w:p>
      <w:pPr>
        <w:pStyle w:val="Compact"/>
        <w:numPr>
          <w:ilvl w:val="1"/>
          <w:numId w:val="1005"/>
        </w:numPr>
      </w:pPr>
      <w:r>
        <w:t xml:space="preserve">Efficient use of methods (e.g. hyper_tibble() or expand.grid() vs brute loops): 10%</w:t>
      </w:r>
    </w:p>
    <w:p>
      <w:pPr>
        <w:pStyle w:val="Compact"/>
        <w:numPr>
          <w:ilvl w:val="1"/>
          <w:numId w:val="1005"/>
        </w:numPr>
      </w:pPr>
      <w:r>
        <w:t xml:space="preserve">Use of Cartesian indexing or equivalent vectorised operation: 10%</w:t>
      </w:r>
    </w:p>
    <w:p>
      <w:pPr>
        <w:pStyle w:val="Compact"/>
        <w:numPr>
          <w:ilvl w:val="0"/>
          <w:numId w:val="1003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Code is readable, well-commented: 10%</w:t>
      </w:r>
    </w:p>
    <w:p>
      <w:pPr>
        <w:pStyle w:val="Compact"/>
        <w:numPr>
          <w:ilvl w:val="1"/>
          <w:numId w:val="1006"/>
        </w:numPr>
      </w:pPr>
      <w:r>
        <w:t xml:space="preserve">Summary of the resulting data structure shown and interpretable: 10%</w:t>
      </w:r>
    </w:p>
    <w:p>
      <w:pPr>
        <w:pStyle w:val="Compact"/>
        <w:numPr>
          <w:ilvl w:val="0"/>
          <w:numId w:val="1003"/>
        </w:numPr>
      </w:pPr>
      <w:r>
        <w:t xml:space="preserve">Critical Thinking (10%)</w:t>
      </w:r>
    </w:p>
    <w:p>
      <w:pPr>
        <w:pStyle w:val="Compact"/>
        <w:numPr>
          <w:ilvl w:val="1"/>
          <w:numId w:val="1007"/>
        </w:numPr>
      </w:pPr>
      <w:r>
        <w:t xml:space="preserve">Indicates understanding of spatial × temporal structure and mentions NA implications: 10%</w:t>
      </w:r>
    </w:p>
    <w:bookmarkEnd w:id="20"/>
    <w:bookmarkStart w:id="21" w:name="task-2-exploratory-data-analysis-10"/>
    <w:p>
      <w:pPr>
        <w:pStyle w:val="Heading2"/>
      </w:pPr>
      <w:r>
        <w:t xml:space="preserve">Task 2: Exploratory Data Analysis [10%]</w:t>
      </w:r>
    </w:p>
    <w:p>
      <w:pPr>
        <w:pStyle w:val="FirstParagraph"/>
      </w:pPr>
      <w:r>
        <w:t xml:space="preserve">2.1 Weighted Mean Time Series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09"/>
        </w:numPr>
      </w:pPr>
      <w:r>
        <w:t xml:space="preserve">Weighted mean across time: 15%</w:t>
      </w:r>
    </w:p>
    <w:p>
      <w:pPr>
        <w:pStyle w:val="Compact"/>
        <w:numPr>
          <w:ilvl w:val="0"/>
          <w:numId w:val="1008"/>
        </w:numPr>
      </w:pPr>
    </w:p>
    <w:p>
      <w:pPr>
        <w:pStyle w:val="Compact"/>
        <w:numPr>
          <w:ilvl w:val="1"/>
          <w:numId w:val="1010"/>
        </w:numPr>
      </w:pPr>
      <w:r>
        <w:t xml:space="preserve">Time series for 100 pixels: 15%</w:t>
      </w:r>
    </w:p>
    <w:p>
      <w:pPr>
        <w:pStyle w:val="FirstParagraph"/>
      </w:pPr>
      <w:r>
        <w:t xml:space="preserve">2.2 Summary Statistics: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2"/>
        </w:numPr>
      </w:pPr>
      <w:r>
        <w:t xml:space="preserve">Descriptive stats: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3"/>
        </w:numPr>
      </w:pPr>
      <w:r>
        <w:t xml:space="preserve">Visualisations: 20%</w:t>
      </w:r>
    </w:p>
    <w:p>
      <w:pPr>
        <w:pStyle w:val="Compact"/>
        <w:numPr>
          <w:ilvl w:val="0"/>
          <w:numId w:val="1011"/>
        </w:numPr>
      </w:pPr>
    </w:p>
    <w:p>
      <w:pPr>
        <w:pStyle w:val="Compact"/>
        <w:numPr>
          <w:ilvl w:val="1"/>
          <w:numId w:val="1014"/>
        </w:numPr>
      </w:pPr>
      <w:r>
        <w:t xml:space="preserve">Interpretation: 20%</w:t>
      </w:r>
    </w:p>
    <w:p>
      <w:pPr>
        <w:pStyle w:val="FirstParagraph"/>
      </w:pPr>
      <w:r>
        <w:t xml:space="preserve">2.3 Observation Density Map: 10%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15"/>
        </w:numPr>
      </w:pPr>
      <w:r>
        <w:t xml:space="preserve">Technical Accuracy (50%)</w:t>
      </w:r>
    </w:p>
    <w:p>
      <w:pPr>
        <w:pStyle w:val="Compact"/>
        <w:numPr>
          <w:ilvl w:val="1"/>
          <w:numId w:val="1016"/>
        </w:numPr>
      </w:pPr>
      <w:r>
        <w:t xml:space="preserve">Proper handling of weights and NA filtering: 10%</w:t>
      </w:r>
    </w:p>
    <w:p>
      <w:pPr>
        <w:pStyle w:val="Compact"/>
        <w:numPr>
          <w:ilvl w:val="1"/>
          <w:numId w:val="1016"/>
        </w:numPr>
      </w:pPr>
      <w:r>
        <w:t xml:space="preserve">Correct aggregation logic (quarter, pixel, etc.): 10%</w:t>
      </w:r>
    </w:p>
    <w:p>
      <w:pPr>
        <w:pStyle w:val="Compact"/>
        <w:numPr>
          <w:ilvl w:val="1"/>
          <w:numId w:val="1016"/>
        </w:numPr>
      </w:pPr>
      <w:r>
        <w:t xml:space="preserve">Appropriateness of visualisation syntax and ggplot conventions: 10%</w:t>
      </w:r>
    </w:p>
    <w:p>
      <w:pPr>
        <w:pStyle w:val="Compact"/>
        <w:numPr>
          <w:ilvl w:val="1"/>
          <w:numId w:val="1016"/>
        </w:numPr>
      </w:pPr>
      <w:r>
        <w:t xml:space="preserve">Use of statistical descriptors (mean, sd, skew, etc.) correctly: 10%</w:t>
      </w:r>
    </w:p>
    <w:p>
      <w:pPr>
        <w:pStyle w:val="Compact"/>
        <w:numPr>
          <w:ilvl w:val="1"/>
          <w:numId w:val="1016"/>
        </w:numPr>
      </w:pPr>
      <w:r>
        <w:t xml:space="preserve">Map projection/geodesic coordinates and section overlay accuracy: 10%</w:t>
      </w:r>
    </w:p>
    <w:p>
      <w:pPr>
        <w:pStyle w:val="Compact"/>
        <w:numPr>
          <w:ilvl w:val="0"/>
          <w:numId w:val="1015"/>
        </w:numPr>
      </w:pPr>
      <w:r>
        <w:t xml:space="preserve">Depth of Analysis (20%)</w:t>
      </w:r>
    </w:p>
    <w:p>
      <w:pPr>
        <w:pStyle w:val="Compact"/>
        <w:numPr>
          <w:ilvl w:val="1"/>
          <w:numId w:val="1017"/>
        </w:numPr>
      </w:pPr>
      <w:r>
        <w:t xml:space="preserve">Commentary on skewness, kurtosis, and statistical implications: 10%</w:t>
      </w:r>
    </w:p>
    <w:p>
      <w:pPr>
        <w:pStyle w:val="Compact"/>
        <w:numPr>
          <w:ilvl w:val="1"/>
          <w:numId w:val="1017"/>
        </w:numPr>
      </w:pPr>
      <w:r>
        <w:t xml:space="preserve">Recognition of seasonal/temporal signals in plots and stats: 10%</w:t>
      </w:r>
    </w:p>
    <w:p>
      <w:pPr>
        <w:pStyle w:val="Compact"/>
        <w:numPr>
          <w:ilvl w:val="0"/>
          <w:numId w:val="101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18"/>
        </w:numPr>
      </w:pPr>
      <w:r>
        <w:t xml:space="preserve">Plot labels, axes, titles intelligible and precise: 10%</w:t>
      </w:r>
    </w:p>
    <w:p>
      <w:pPr>
        <w:pStyle w:val="Compact"/>
        <w:numPr>
          <w:ilvl w:val="1"/>
          <w:numId w:val="1018"/>
        </w:numPr>
      </w:pPr>
      <w:r>
        <w:t xml:space="preserve">Logical narrative supporting visualisations/statistics: 10%</w:t>
      </w:r>
    </w:p>
    <w:p>
      <w:pPr>
        <w:pStyle w:val="Compact"/>
        <w:numPr>
          <w:ilvl w:val="0"/>
          <w:numId w:val="1015"/>
        </w:numPr>
      </w:pPr>
      <w:r>
        <w:t xml:space="preserve">Critical Thinking (10%)</w:t>
      </w:r>
    </w:p>
    <w:p>
      <w:pPr>
        <w:pStyle w:val="Compact"/>
        <w:numPr>
          <w:ilvl w:val="1"/>
          <w:numId w:val="1019"/>
        </w:numPr>
      </w:pPr>
      <w:r>
        <w:t xml:space="preserve">Justification of metric choices, handling of anomalous years: 5%</w:t>
      </w:r>
    </w:p>
    <w:p>
      <w:pPr>
        <w:pStyle w:val="Compact"/>
        <w:numPr>
          <w:ilvl w:val="1"/>
          <w:numId w:val="1019"/>
        </w:numPr>
      </w:pPr>
      <w:r>
        <w:t xml:space="preserve">Suggestions of ecological explanations (e.g., photoperiod, storminess): 5%</w:t>
      </w:r>
    </w:p>
    <w:bookmarkEnd w:id="21"/>
    <w:bookmarkStart w:id="22" w:name="task-3-inferential-statistics-i-20"/>
    <w:p>
      <w:pPr>
        <w:pStyle w:val="Heading2"/>
      </w:pPr>
      <w:r>
        <w:t xml:space="preserve">Task 3: Inferential Statistics I [20%]</w:t>
      </w:r>
    </w:p>
    <w:p>
      <w:pPr>
        <w:pStyle w:val="FirstParagraph"/>
      </w:pPr>
      <w:r>
        <w:t xml:space="preserve">Weight within task: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1"/>
        </w:numPr>
      </w:pPr>
      <w:r>
        <w:t xml:space="preserve">Hypotheses: 10%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2"/>
        </w:numPr>
      </w:pPr>
      <w:r>
        <w:t xml:space="preserve">Model selection and justification: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3"/>
        </w:numPr>
      </w:pPr>
      <w:r>
        <w:t xml:space="preserve">Assumption testing: 20%</w:t>
      </w:r>
    </w:p>
    <w:p>
      <w:pPr>
        <w:pStyle w:val="Compact"/>
        <w:numPr>
          <w:ilvl w:val="0"/>
          <w:numId w:val="1020"/>
        </w:numPr>
      </w:pPr>
    </w:p>
    <w:p>
      <w:pPr>
        <w:pStyle w:val="Compact"/>
        <w:numPr>
          <w:ilvl w:val="1"/>
          <w:numId w:val="1024"/>
        </w:numPr>
      </w:pPr>
      <w:r>
        <w:t xml:space="preserve">Result interpretation and diagnostics: 50%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25"/>
        </w:numPr>
      </w:pPr>
      <w:r>
        <w:t xml:space="preserve">Technical Accuracy (50%)</w:t>
      </w:r>
    </w:p>
    <w:p>
      <w:pPr>
        <w:pStyle w:val="Compact"/>
        <w:numPr>
          <w:ilvl w:val="1"/>
          <w:numId w:val="1026"/>
        </w:numPr>
      </w:pPr>
      <w:r>
        <w:t xml:space="preserve">Correct use of linear model and specification (additive, no interaction): 20%</w:t>
      </w:r>
    </w:p>
    <w:p>
      <w:pPr>
        <w:pStyle w:val="Compact"/>
        <w:numPr>
          <w:ilvl w:val="1"/>
          <w:numId w:val="1026"/>
        </w:numPr>
      </w:pPr>
      <w:r>
        <w:t xml:space="preserve">Explicit assumptions tested (normality, homogeneity): 10%</w:t>
      </w:r>
    </w:p>
    <w:p>
      <w:pPr>
        <w:pStyle w:val="Compact"/>
        <w:numPr>
          <w:ilvl w:val="1"/>
          <w:numId w:val="1026"/>
        </w:numPr>
      </w:pPr>
      <w:r>
        <w:t xml:space="preserve">Proper model diagnostics and visual checks: 10%</w:t>
      </w:r>
    </w:p>
    <w:p>
      <w:pPr>
        <w:pStyle w:val="Compact"/>
        <w:numPr>
          <w:ilvl w:val="1"/>
          <w:numId w:val="1026"/>
        </w:numPr>
      </w:pPr>
      <w:r>
        <w:t xml:space="preserve">Use of correct significance thresholds and p-value interpretation: 10%</w:t>
      </w:r>
    </w:p>
    <w:p>
      <w:pPr>
        <w:pStyle w:val="Compact"/>
        <w:numPr>
          <w:ilvl w:val="0"/>
          <w:numId w:val="1025"/>
        </w:numPr>
      </w:pPr>
      <w:r>
        <w:t xml:space="preserve">Depth of Analysis (20%)</w:t>
      </w:r>
    </w:p>
    <w:p>
      <w:pPr>
        <w:pStyle w:val="Compact"/>
        <w:numPr>
          <w:ilvl w:val="1"/>
          <w:numId w:val="1027"/>
        </w:numPr>
      </w:pPr>
      <w:r>
        <w:t xml:space="preserve">Justification for using aggregate means vs raw data: 10%</w:t>
      </w:r>
    </w:p>
    <w:p>
      <w:pPr>
        <w:pStyle w:val="Compact"/>
        <w:numPr>
          <w:ilvl w:val="1"/>
          <w:numId w:val="1027"/>
        </w:numPr>
      </w:pPr>
      <w:r>
        <w:t xml:space="preserve">Consideration of alternative models (e.g., GAMs): 10%</w:t>
      </w:r>
    </w:p>
    <w:p>
      <w:pPr>
        <w:pStyle w:val="Compact"/>
        <w:numPr>
          <w:ilvl w:val="0"/>
          <w:numId w:val="1025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28"/>
        </w:numPr>
      </w:pPr>
      <w:r>
        <w:t xml:space="preserve">Hypotheses stated cleanly, concisely: 10%</w:t>
      </w:r>
    </w:p>
    <w:p>
      <w:pPr>
        <w:pStyle w:val="Compact"/>
        <w:numPr>
          <w:ilvl w:val="1"/>
          <w:numId w:val="1028"/>
        </w:numPr>
      </w:pPr>
      <w:r>
        <w:t xml:space="preserve">Figure/Table references integrated smoothly in the narrative: 10%</w:t>
      </w:r>
    </w:p>
    <w:p>
      <w:pPr>
        <w:pStyle w:val="Compact"/>
        <w:numPr>
          <w:ilvl w:val="0"/>
          <w:numId w:val="1025"/>
        </w:numPr>
      </w:pPr>
      <w:r>
        <w:t xml:space="preserve">Critical Thinking (10%)</w:t>
      </w:r>
    </w:p>
    <w:p>
      <w:pPr>
        <w:pStyle w:val="Compact"/>
        <w:numPr>
          <w:ilvl w:val="1"/>
          <w:numId w:val="1029"/>
        </w:numPr>
      </w:pPr>
      <w:r>
        <w:t xml:space="preserve">Recognition of model limitations and implications (e.g. low R²): 10%</w:t>
      </w:r>
    </w:p>
    <w:bookmarkEnd w:id="22"/>
    <w:bookmarkStart w:id="23" w:name="task-4-spatial-assignment-10"/>
    <w:p>
      <w:pPr>
        <w:pStyle w:val="Heading2"/>
      </w:pPr>
      <w:r>
        <w:t xml:space="preserve">Task 4: Spatial Assignment [10%]</w:t>
      </w:r>
    </w:p>
    <w:p>
      <w:pPr>
        <w:pStyle w:val="FirstParagraph"/>
      </w:pPr>
      <w:r>
        <w:t xml:space="preserve">4.1 Section Assignment: 5%</w:t>
      </w:r>
    </w:p>
    <w:p>
      <w:pPr>
        <w:pStyle w:val="BodyText"/>
      </w:pPr>
      <w:r>
        <w:t xml:space="preserve">4.2 Bioregion Assignment: 5%</w:t>
      </w:r>
    </w:p>
    <w:p>
      <w:pPr>
        <w:pStyle w:val="BodyText"/>
      </w:pPr>
      <w:r>
        <w:t xml:space="preserve">Rubric:</w:t>
      </w:r>
    </w:p>
    <w:p>
      <w:pPr>
        <w:pStyle w:val="Compact"/>
        <w:numPr>
          <w:ilvl w:val="0"/>
          <w:numId w:val="1030"/>
        </w:numPr>
      </w:pPr>
      <w:r>
        <w:t xml:space="preserve">Technical Accuracy (50%)</w:t>
      </w:r>
    </w:p>
    <w:p>
      <w:pPr>
        <w:pStyle w:val="Compact"/>
        <w:numPr>
          <w:ilvl w:val="1"/>
          <w:numId w:val="1031"/>
        </w:numPr>
      </w:pPr>
      <w:r>
        <w:t xml:space="preserve">Correct application of Haversine formula or great-circle logic: 20%</w:t>
      </w:r>
    </w:p>
    <w:p>
      <w:pPr>
        <w:pStyle w:val="Compact"/>
        <w:numPr>
          <w:ilvl w:val="1"/>
          <w:numId w:val="1031"/>
        </w:numPr>
      </w:pPr>
      <w:r>
        <w:t xml:space="preserve">Accurate section_id assignment: 10%</w:t>
      </w:r>
    </w:p>
    <w:p>
      <w:pPr>
        <w:pStyle w:val="Compact"/>
        <w:numPr>
          <w:ilvl w:val="1"/>
          <w:numId w:val="1031"/>
        </w:numPr>
      </w:pPr>
      <w:r>
        <w:t xml:space="preserve">Bioregion mapping via join or merge: 10%</w:t>
      </w:r>
    </w:p>
    <w:p>
      <w:pPr>
        <w:pStyle w:val="Compact"/>
        <w:numPr>
          <w:ilvl w:val="1"/>
          <w:numId w:val="1031"/>
        </w:numPr>
      </w:pPr>
      <w:r>
        <w:t xml:space="preserve">Correct data columns preserved/renamed: 10%</w:t>
      </w:r>
    </w:p>
    <w:p>
      <w:pPr>
        <w:pStyle w:val="Compact"/>
        <w:numPr>
          <w:ilvl w:val="0"/>
          <w:numId w:val="1030"/>
        </w:numPr>
      </w:pPr>
      <w:r>
        <w:t xml:space="preserve">Depth of Analysis (20%)</w:t>
      </w:r>
    </w:p>
    <w:p>
      <w:pPr>
        <w:pStyle w:val="Compact"/>
        <w:numPr>
          <w:ilvl w:val="1"/>
          <w:numId w:val="1032"/>
        </w:numPr>
      </w:pPr>
      <w:r>
        <w:t xml:space="preserve">Efficiency of matching routine (e.g., mapply() or vectorised join): 10%</w:t>
      </w:r>
    </w:p>
    <w:p>
      <w:pPr>
        <w:pStyle w:val="Compact"/>
        <w:numPr>
          <w:ilvl w:val="1"/>
          <w:numId w:val="1032"/>
        </w:numPr>
      </w:pPr>
      <w:r>
        <w:t xml:space="preserve">Consideration of spatial boundaries (e.g., limiting to section 1–22): 10%</w:t>
      </w:r>
    </w:p>
    <w:p>
      <w:pPr>
        <w:pStyle w:val="Compact"/>
        <w:numPr>
          <w:ilvl w:val="0"/>
          <w:numId w:val="103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3"/>
        </w:numPr>
      </w:pPr>
      <w:r>
        <w:t xml:space="preserve">Annotated code, explanation of proximity logic: 10%</w:t>
      </w:r>
    </w:p>
    <w:p>
      <w:pPr>
        <w:pStyle w:val="Compact"/>
        <w:numPr>
          <w:ilvl w:val="1"/>
          <w:numId w:val="1033"/>
        </w:numPr>
      </w:pPr>
      <w:r>
        <w:t xml:space="preserve">Output (head(), summary(), tail()) shows assignment integrity: 10%</w:t>
      </w:r>
    </w:p>
    <w:p>
      <w:pPr>
        <w:pStyle w:val="Compact"/>
        <w:numPr>
          <w:ilvl w:val="0"/>
          <w:numId w:val="1030"/>
        </w:numPr>
      </w:pPr>
      <w:r>
        <w:t xml:space="preserve">Critical Thinking (10%)</w:t>
      </w:r>
    </w:p>
    <w:p>
      <w:pPr>
        <w:pStyle w:val="Compact"/>
        <w:numPr>
          <w:ilvl w:val="0"/>
          <w:numId w:val="1030"/>
        </w:numPr>
      </w:pPr>
      <w:r>
        <w:t xml:space="preserve">Considers effect of section resolution or mapping error: 10%</w:t>
      </w:r>
    </w:p>
    <w:bookmarkEnd w:id="23"/>
    <w:bookmarkStart w:id="24" w:name="task-5-inferential-statistics-ii-30"/>
    <w:p>
      <w:pPr>
        <w:pStyle w:val="Heading2"/>
      </w:pPr>
      <w:r>
        <w:t xml:space="preserve">Task 5: Inferential Statistics II [30%]</w:t>
      </w:r>
    </w:p>
    <w:p>
      <w:pPr>
        <w:pStyle w:val="FirstParagraph"/>
      </w:pPr>
      <w:r>
        <w:t xml:space="preserve">Each sub-task contributes approximately 6% unless reweighted explicitly.</w:t>
      </w:r>
    </w:p>
    <w:p>
      <w:pPr>
        <w:pStyle w:val="BodyText"/>
      </w:pPr>
      <w:r>
        <w:t xml:space="preserve">Rubric per sub-task (5.1–5.5):</w:t>
      </w:r>
    </w:p>
    <w:p>
      <w:pPr>
        <w:pStyle w:val="Compact"/>
        <w:numPr>
          <w:ilvl w:val="0"/>
          <w:numId w:val="1034"/>
        </w:numPr>
      </w:pPr>
      <w:r>
        <w:t xml:space="preserve">Technical Accuracy (50%)</w:t>
      </w:r>
    </w:p>
    <w:p>
      <w:pPr>
        <w:pStyle w:val="Compact"/>
        <w:numPr>
          <w:ilvl w:val="1"/>
          <w:numId w:val="1035"/>
        </w:numPr>
      </w:pPr>
      <w:r>
        <w:t xml:space="preserve">Model type (ANOVA, LM, ANCOVA) appropriate: 15%</w:t>
      </w:r>
    </w:p>
    <w:p>
      <w:pPr>
        <w:pStyle w:val="Compact"/>
        <w:numPr>
          <w:ilvl w:val="1"/>
          <w:numId w:val="1035"/>
        </w:numPr>
      </w:pPr>
      <w:r>
        <w:t xml:space="preserve">Correct test execution (summary, diagnostics): 15%</w:t>
      </w:r>
    </w:p>
    <w:p>
      <w:pPr>
        <w:pStyle w:val="Compact"/>
        <w:numPr>
          <w:ilvl w:val="1"/>
          <w:numId w:val="1035"/>
        </w:numPr>
      </w:pPr>
      <w:r>
        <w:t xml:space="preserve">Assumptions evaluated, violations addressed: 10%</w:t>
      </w:r>
    </w:p>
    <w:p>
      <w:pPr>
        <w:pStyle w:val="Compact"/>
        <w:numPr>
          <w:ilvl w:val="1"/>
          <w:numId w:val="1035"/>
        </w:numPr>
      </w:pPr>
      <w:r>
        <w:t xml:space="preserve">Non-parametric alternative proposed when appropriate: 10%</w:t>
      </w:r>
    </w:p>
    <w:p>
      <w:pPr>
        <w:pStyle w:val="Compact"/>
        <w:numPr>
          <w:ilvl w:val="0"/>
          <w:numId w:val="1034"/>
        </w:numPr>
      </w:pPr>
      <w:r>
        <w:t xml:space="preserve">Depth of Analysis (20%)</w:t>
      </w:r>
    </w:p>
    <w:p>
      <w:pPr>
        <w:pStyle w:val="Compact"/>
        <w:numPr>
          <w:ilvl w:val="1"/>
          <w:numId w:val="1036"/>
        </w:numPr>
      </w:pPr>
      <w:r>
        <w:t xml:space="preserve">Explicit rationale for model choice: 10%</w:t>
      </w:r>
    </w:p>
    <w:p>
      <w:pPr>
        <w:pStyle w:val="Compact"/>
        <w:numPr>
          <w:ilvl w:val="1"/>
          <w:numId w:val="1036"/>
        </w:numPr>
      </w:pPr>
      <w:r>
        <w:t xml:space="preserve">Discussion of structure in data (nesting, lack of interaction): 10%</w:t>
      </w:r>
    </w:p>
    <w:p>
      <w:pPr>
        <w:pStyle w:val="Compact"/>
        <w:numPr>
          <w:ilvl w:val="0"/>
          <w:numId w:val="1034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37"/>
        </w:numPr>
      </w:pPr>
      <w:r>
        <w:t xml:space="preserve">Hypotheses clearly and formally stated: 10%</w:t>
      </w:r>
    </w:p>
    <w:p>
      <w:pPr>
        <w:pStyle w:val="Compact"/>
        <w:numPr>
          <w:ilvl w:val="1"/>
          <w:numId w:val="1037"/>
        </w:numPr>
      </w:pPr>
      <w:r>
        <w:t xml:space="preserve">Visualisations appropriately labelled and explained: 10%</w:t>
      </w:r>
    </w:p>
    <w:p>
      <w:pPr>
        <w:pStyle w:val="Compact"/>
        <w:numPr>
          <w:ilvl w:val="0"/>
          <w:numId w:val="1034"/>
        </w:numPr>
      </w:pPr>
      <w:r>
        <w:t xml:space="preserve">Critical Thinking (10%)</w:t>
      </w:r>
    </w:p>
    <w:p>
      <w:pPr>
        <w:pStyle w:val="Compact"/>
        <w:numPr>
          <w:ilvl w:val="1"/>
          <w:numId w:val="1038"/>
        </w:numPr>
      </w:pPr>
      <w:r>
        <w:t xml:space="preserve">Insight into ecological implications of findings (e.g., BMP trend): 10%</w:t>
      </w:r>
    </w:p>
    <w:p>
      <w:pPr>
        <w:pStyle w:val="FirstParagraph"/>
      </w:pPr>
      <w:r>
        <w:t xml:space="preserve">Add 1–2 bonus marks if:</w:t>
      </w:r>
    </w:p>
    <w:p>
      <w:pPr>
        <w:pStyle w:val="Compact"/>
        <w:numPr>
          <w:ilvl w:val="0"/>
          <w:numId w:val="1039"/>
        </w:numPr>
      </w:pPr>
      <w:r>
        <w:t xml:space="preserve">Multicollinearity (e.g., VIF) or autocorrelation (e.g., DW test) is discussed</w:t>
      </w:r>
    </w:p>
    <w:p>
      <w:pPr>
        <w:pStyle w:val="Compact"/>
        <w:numPr>
          <w:ilvl w:val="0"/>
          <w:numId w:val="1039"/>
        </w:numPr>
      </w:pPr>
      <w:r>
        <w:t xml:space="preserve">Advanced diagnostics (e.g., Breusch–Pagan, TukeyHSD) are used correctly</w:t>
      </w:r>
    </w:p>
    <w:bookmarkEnd w:id="24"/>
    <w:bookmarkStart w:id="25" w:name="task-6-write-up-10"/>
    <w:p>
      <w:pPr>
        <w:pStyle w:val="Heading2"/>
      </w:pPr>
      <w:r>
        <w:t xml:space="preserve">Task 6: Write-up [10%]</w:t>
      </w:r>
    </w:p>
    <w:p>
      <w:pPr>
        <w:pStyle w:val="FirstParagraph"/>
      </w:pPr>
      <w:r>
        <w:t xml:space="preserve">Rubric:</w:t>
      </w:r>
    </w:p>
    <w:p>
      <w:pPr>
        <w:pStyle w:val="Compact"/>
        <w:numPr>
          <w:ilvl w:val="0"/>
          <w:numId w:val="1040"/>
        </w:numPr>
      </w:pPr>
      <w:r>
        <w:t xml:space="preserve">Technical Accuracy (50%)</w:t>
      </w:r>
    </w:p>
    <w:p>
      <w:pPr>
        <w:pStyle w:val="Compact"/>
        <w:numPr>
          <w:ilvl w:val="1"/>
          <w:numId w:val="1041"/>
        </w:numPr>
      </w:pPr>
      <w:r>
        <w:t xml:space="preserve">Consistent reference to previous results, correct figure/table interpretation: 25%</w:t>
      </w:r>
    </w:p>
    <w:p>
      <w:pPr>
        <w:pStyle w:val="Compact"/>
        <w:numPr>
          <w:ilvl w:val="1"/>
          <w:numId w:val="1041"/>
        </w:numPr>
      </w:pPr>
      <w:r>
        <w:t xml:space="preserve">Accurate paraphrasing of statistical results: 15%</w:t>
      </w:r>
    </w:p>
    <w:p>
      <w:pPr>
        <w:pStyle w:val="Compact"/>
        <w:numPr>
          <w:ilvl w:val="1"/>
          <w:numId w:val="1041"/>
        </w:numPr>
      </w:pPr>
      <w:r>
        <w:t xml:space="preserve">Adherence to 2-page length limit, integration of material: 10%</w:t>
      </w:r>
    </w:p>
    <w:p>
      <w:pPr>
        <w:pStyle w:val="Compact"/>
        <w:numPr>
          <w:ilvl w:val="0"/>
          <w:numId w:val="1040"/>
        </w:numPr>
      </w:pPr>
      <w:r>
        <w:t xml:space="preserve">Depth of Analysis (20%)</w:t>
      </w:r>
    </w:p>
    <w:p>
      <w:pPr>
        <w:pStyle w:val="Compact"/>
        <w:numPr>
          <w:ilvl w:val="1"/>
          <w:numId w:val="1042"/>
        </w:numPr>
      </w:pPr>
      <w:r>
        <w:t xml:space="preserve">Rich synthesis across Tasks 2–5, not isolated repetition: 10%</w:t>
      </w:r>
    </w:p>
    <w:p>
      <w:pPr>
        <w:pStyle w:val="Compact"/>
        <w:numPr>
          <w:ilvl w:val="1"/>
          <w:numId w:val="1042"/>
        </w:numPr>
      </w:pPr>
      <w:r>
        <w:t xml:space="preserve">Conceptual connection of seasonality, trend, and spatial heterogeneity: 10%</w:t>
      </w:r>
    </w:p>
    <w:p>
      <w:pPr>
        <w:pStyle w:val="Compact"/>
        <w:numPr>
          <w:ilvl w:val="0"/>
          <w:numId w:val="1040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43"/>
        </w:numPr>
      </w:pPr>
      <w:r>
        <w:t xml:space="preserve">Coherent scientific writing style, flowing paragraph structure: 10%</w:t>
      </w:r>
    </w:p>
    <w:p>
      <w:pPr>
        <w:pStyle w:val="Compact"/>
        <w:numPr>
          <w:ilvl w:val="1"/>
          <w:numId w:val="1043"/>
        </w:numPr>
      </w:pPr>
      <w:r>
        <w:t xml:space="preserve">Effective integration of figure references and literature: 10%</w:t>
      </w:r>
    </w:p>
    <w:p>
      <w:pPr>
        <w:pStyle w:val="Compact"/>
        <w:numPr>
          <w:ilvl w:val="0"/>
          <w:numId w:val="1040"/>
        </w:numPr>
      </w:pPr>
      <w:r>
        <w:t xml:space="preserve">Critical Thinking (10%)</w:t>
      </w:r>
    </w:p>
    <w:p>
      <w:pPr>
        <w:pStyle w:val="Compact"/>
        <w:numPr>
          <w:ilvl w:val="1"/>
          <w:numId w:val="1044"/>
        </w:numPr>
      </w:pPr>
      <w:r>
        <w:t xml:space="preserve">Limitations clearly acknowledged and reflected on: 5%</w:t>
      </w:r>
    </w:p>
    <w:p>
      <w:pPr>
        <w:pStyle w:val="Compact"/>
        <w:numPr>
          <w:ilvl w:val="1"/>
          <w:numId w:val="1044"/>
        </w:numPr>
      </w:pPr>
      <w:r>
        <w:t xml:space="preserve">Forward-looking ecological insight or recommendation offered: 5%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Rubric (2025)</dc:title>
  <dc:creator>Smit, A. J.</dc:creator>
  <dc:language>en-GB</dc:language>
  <cp:keywords/>
  <dcterms:created xsi:type="dcterms:W3CDTF">2025-07-19T15:16:16Z</dcterms:created>
  <dcterms:modified xsi:type="dcterms:W3CDTF">2025-07-19T15:16:16Z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