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Ribric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0"/>
          <w:numId w:val="1003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0"/>
          <w:numId w:val="1003"/>
        </w:numPr>
      </w:pPr>
      <w:r>
        <w:t xml:space="preserve">Time conversion handled correctly (POSIX timestamps): 10%</w:t>
      </w:r>
    </w:p>
    <w:p>
      <w:pPr>
        <w:pStyle w:val="Compact"/>
        <w:numPr>
          <w:ilvl w:val="0"/>
          <w:numId w:val="1003"/>
        </w:numPr>
      </w:pPr>
      <w:r>
        <w:t xml:space="preserve">Data reshaped into appropriate long format: 15%</w:t>
      </w:r>
    </w:p>
    <w:p>
      <w:pPr>
        <w:pStyle w:val="Compact"/>
        <w:numPr>
          <w:ilvl w:val="0"/>
          <w:numId w:val="1003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0"/>
          <w:numId w:val="1003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0"/>
          <w:numId w:val="1003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3"/>
        </w:numPr>
      </w:pPr>
      <w:r>
        <w:t xml:space="preserve">Code is readable, well-commented: 10%</w:t>
      </w:r>
    </w:p>
    <w:p>
      <w:pPr>
        <w:pStyle w:val="Compact"/>
        <w:numPr>
          <w:ilvl w:val="0"/>
          <w:numId w:val="1003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0"/>
          <w:numId w:val="1003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07"/>
        </w:numPr>
      </w:pPr>
    </w:p>
    <w:p>
      <w:pPr>
        <w:pStyle w:val="Compact"/>
        <w:numPr>
          <w:ilvl w:val="1"/>
          <w:numId w:val="1008"/>
        </w:numPr>
      </w:pPr>
      <w:r>
        <w:t xml:space="preserve">Descriptive stats: 20%</w:t>
      </w:r>
    </w:p>
    <w:p>
      <w:pPr>
        <w:pStyle w:val="Compact"/>
        <w:numPr>
          <w:ilvl w:val="0"/>
          <w:numId w:val="1007"/>
        </w:numPr>
      </w:pPr>
    </w:p>
    <w:p>
      <w:pPr>
        <w:pStyle w:val="Compact"/>
        <w:numPr>
          <w:ilvl w:val="1"/>
          <w:numId w:val="1009"/>
        </w:numPr>
      </w:pPr>
      <w:r>
        <w:t xml:space="preserve">Visualisations: 20%</w:t>
      </w:r>
    </w:p>
    <w:p>
      <w:pPr>
        <w:pStyle w:val="Compact"/>
        <w:numPr>
          <w:ilvl w:val="0"/>
          <w:numId w:val="1007"/>
        </w:numPr>
      </w:pPr>
    </w:p>
    <w:p>
      <w:pPr>
        <w:pStyle w:val="Compact"/>
        <w:numPr>
          <w:ilvl w:val="1"/>
          <w:numId w:val="1010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1"/>
        </w:numPr>
      </w:pPr>
      <w:r>
        <w:t xml:space="preserve">Technical Accuracy (50%)</w:t>
      </w:r>
    </w:p>
    <w:p>
      <w:pPr>
        <w:pStyle w:val="Compact"/>
        <w:numPr>
          <w:ilvl w:val="0"/>
          <w:numId w:val="1011"/>
        </w:numPr>
      </w:pPr>
      <w:r>
        <w:t xml:space="preserve">Proper handling of weights and NA filtering: 10%</w:t>
      </w:r>
    </w:p>
    <w:p>
      <w:pPr>
        <w:pStyle w:val="Compact"/>
        <w:numPr>
          <w:ilvl w:val="0"/>
          <w:numId w:val="1011"/>
        </w:numPr>
      </w:pPr>
      <w:r>
        <w:t xml:space="preserve">Correct aggregation logic (quarter, pixel, etc.): 10%</w:t>
      </w:r>
    </w:p>
    <w:p>
      <w:pPr>
        <w:pStyle w:val="Compact"/>
        <w:numPr>
          <w:ilvl w:val="0"/>
          <w:numId w:val="1011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0"/>
          <w:numId w:val="1011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0"/>
          <w:numId w:val="1011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1"/>
        </w:numPr>
      </w:pPr>
      <w:r>
        <w:t xml:space="preserve">Depth of Analysis (20%)</w:t>
      </w:r>
    </w:p>
    <w:p>
      <w:pPr>
        <w:pStyle w:val="Compact"/>
        <w:numPr>
          <w:ilvl w:val="0"/>
          <w:numId w:val="1011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0"/>
          <w:numId w:val="1011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11"/>
        </w:numPr>
      </w:pPr>
      <w:r>
        <w:t xml:space="preserve">Plot labels, axes, titles intelligible and precise: 10%</w:t>
      </w:r>
    </w:p>
    <w:p>
      <w:pPr>
        <w:pStyle w:val="Compact"/>
        <w:numPr>
          <w:ilvl w:val="0"/>
          <w:numId w:val="1011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1"/>
        </w:numPr>
      </w:pPr>
      <w:r>
        <w:t xml:space="preserve">Critical Thinking (10%)</w:t>
      </w:r>
    </w:p>
    <w:p>
      <w:pPr>
        <w:pStyle w:val="Compact"/>
        <w:numPr>
          <w:ilvl w:val="0"/>
          <w:numId w:val="1011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0"/>
          <w:numId w:val="1011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3"/>
        </w:numPr>
      </w:pPr>
      <w:r>
        <w:t xml:space="preserve">Hypotheses: 10%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4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5"/>
        </w:numPr>
      </w:pPr>
      <w:r>
        <w:t xml:space="preserve">Assumption testing: 20%</w:t>
      </w:r>
    </w:p>
    <w:p>
      <w:pPr>
        <w:pStyle w:val="Compact"/>
        <w:numPr>
          <w:ilvl w:val="0"/>
          <w:numId w:val="1012"/>
        </w:numPr>
      </w:pPr>
    </w:p>
    <w:p>
      <w:pPr>
        <w:pStyle w:val="Compact"/>
        <w:numPr>
          <w:ilvl w:val="1"/>
          <w:numId w:val="1016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17"/>
        </w:numPr>
      </w:pPr>
      <w:r>
        <w:t xml:space="preserve">Technical Accuracy (50%)</w:t>
      </w:r>
    </w:p>
    <w:p>
      <w:pPr>
        <w:pStyle w:val="Compact"/>
        <w:numPr>
          <w:ilvl w:val="0"/>
          <w:numId w:val="1017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0"/>
          <w:numId w:val="1017"/>
        </w:numPr>
      </w:pPr>
      <w:r>
        <w:t xml:space="preserve">Explicit assumptions tested (normality, homogeneity): 10%</w:t>
      </w:r>
    </w:p>
    <w:p>
      <w:pPr>
        <w:pStyle w:val="Compact"/>
        <w:numPr>
          <w:ilvl w:val="0"/>
          <w:numId w:val="1017"/>
        </w:numPr>
      </w:pPr>
      <w:r>
        <w:t xml:space="preserve">Proper model diagnostics and visual checks: 10%</w:t>
      </w:r>
    </w:p>
    <w:p>
      <w:pPr>
        <w:pStyle w:val="Compact"/>
        <w:numPr>
          <w:ilvl w:val="0"/>
          <w:numId w:val="1017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17"/>
        </w:numPr>
      </w:pPr>
      <w:r>
        <w:t xml:space="preserve">Depth of Analysis (20%)</w:t>
      </w:r>
    </w:p>
    <w:p>
      <w:pPr>
        <w:pStyle w:val="Compact"/>
        <w:numPr>
          <w:ilvl w:val="0"/>
          <w:numId w:val="1017"/>
        </w:numPr>
      </w:pPr>
      <w:r>
        <w:t xml:space="preserve">Justification for using aggregate means vs raw data: 10%</w:t>
      </w:r>
    </w:p>
    <w:p>
      <w:pPr>
        <w:pStyle w:val="Compact"/>
        <w:numPr>
          <w:ilvl w:val="0"/>
          <w:numId w:val="101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17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17"/>
        </w:numPr>
      </w:pPr>
      <w:r>
        <w:t xml:space="preserve">Hypotheses stated cleanly, concisely: 10%</w:t>
      </w:r>
    </w:p>
    <w:p>
      <w:pPr>
        <w:pStyle w:val="Compact"/>
        <w:numPr>
          <w:ilvl w:val="0"/>
          <w:numId w:val="1017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17"/>
        </w:numPr>
      </w:pPr>
      <w:r>
        <w:t xml:space="preserve">Critical Thinking (10%)</w:t>
      </w:r>
    </w:p>
    <w:p>
      <w:pPr>
        <w:pStyle w:val="Compact"/>
        <w:numPr>
          <w:ilvl w:val="0"/>
          <w:numId w:val="1017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8"/>
        </w:numPr>
      </w:pPr>
      <w:r>
        <w:t xml:space="preserve">Technical Accuracy (50%)</w:t>
      </w:r>
    </w:p>
    <w:p>
      <w:pPr>
        <w:pStyle w:val="Compact"/>
        <w:numPr>
          <w:ilvl w:val="0"/>
          <w:numId w:val="1018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0"/>
          <w:numId w:val="1018"/>
        </w:numPr>
      </w:pPr>
      <w:r>
        <w:t xml:space="preserve">Accurate section_id assignment: 10%</w:t>
      </w:r>
    </w:p>
    <w:p>
      <w:pPr>
        <w:pStyle w:val="Compact"/>
        <w:numPr>
          <w:ilvl w:val="0"/>
          <w:numId w:val="1018"/>
        </w:numPr>
      </w:pPr>
      <w:r>
        <w:t xml:space="preserve">Bioregion mapping via join or merge: 10%</w:t>
      </w:r>
    </w:p>
    <w:p>
      <w:pPr>
        <w:pStyle w:val="Compact"/>
        <w:numPr>
          <w:ilvl w:val="0"/>
          <w:numId w:val="1018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18"/>
        </w:numPr>
      </w:pPr>
      <w:r>
        <w:t xml:space="preserve">Depth of Analysis (20%)</w:t>
      </w:r>
    </w:p>
    <w:p>
      <w:pPr>
        <w:pStyle w:val="Compact"/>
        <w:numPr>
          <w:ilvl w:val="0"/>
          <w:numId w:val="1018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0"/>
          <w:numId w:val="1018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18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18"/>
        </w:numPr>
      </w:pPr>
      <w:r>
        <w:t xml:space="preserve">Annotated code, explanation of proximity logic: 10%</w:t>
      </w:r>
    </w:p>
    <w:p>
      <w:pPr>
        <w:pStyle w:val="Compact"/>
        <w:numPr>
          <w:ilvl w:val="0"/>
          <w:numId w:val="1018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18"/>
        </w:numPr>
      </w:pPr>
      <w:r>
        <w:t xml:space="preserve">Critical Thinking (10%)</w:t>
      </w:r>
    </w:p>
    <w:p>
      <w:pPr>
        <w:pStyle w:val="Compact"/>
        <w:numPr>
          <w:ilvl w:val="0"/>
          <w:numId w:val="1018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19"/>
        </w:numPr>
      </w:pPr>
      <w:r>
        <w:t xml:space="preserve">Technical Accuracy (50%)</w:t>
      </w:r>
    </w:p>
    <w:p>
      <w:pPr>
        <w:pStyle w:val="Compact"/>
        <w:numPr>
          <w:ilvl w:val="0"/>
          <w:numId w:val="1019"/>
        </w:numPr>
      </w:pPr>
      <w:r>
        <w:t xml:space="preserve">Model type (ANOVA, LM, ANCOVA) appropriate: 15%</w:t>
      </w:r>
    </w:p>
    <w:p>
      <w:pPr>
        <w:pStyle w:val="Compact"/>
        <w:numPr>
          <w:ilvl w:val="0"/>
          <w:numId w:val="1019"/>
        </w:numPr>
      </w:pPr>
      <w:r>
        <w:t xml:space="preserve">Correct test execution (summary, diagnostics): 15%</w:t>
      </w:r>
    </w:p>
    <w:p>
      <w:pPr>
        <w:pStyle w:val="Compact"/>
        <w:numPr>
          <w:ilvl w:val="0"/>
          <w:numId w:val="1019"/>
        </w:numPr>
      </w:pPr>
      <w:r>
        <w:t xml:space="preserve">Assumptions evaluated, violations addressed: 10%</w:t>
      </w:r>
    </w:p>
    <w:p>
      <w:pPr>
        <w:pStyle w:val="Compact"/>
        <w:numPr>
          <w:ilvl w:val="0"/>
          <w:numId w:val="1019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19"/>
        </w:numPr>
      </w:pPr>
      <w:r>
        <w:t xml:space="preserve">Depth of Analysis (20%)</w:t>
      </w:r>
    </w:p>
    <w:p>
      <w:pPr>
        <w:pStyle w:val="Compact"/>
        <w:numPr>
          <w:ilvl w:val="0"/>
          <w:numId w:val="1019"/>
        </w:numPr>
      </w:pPr>
      <w:r>
        <w:t xml:space="preserve">Explicit rationale for model choice: 10%</w:t>
      </w:r>
    </w:p>
    <w:p>
      <w:pPr>
        <w:pStyle w:val="Compact"/>
        <w:numPr>
          <w:ilvl w:val="0"/>
          <w:numId w:val="1019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19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19"/>
        </w:numPr>
      </w:pPr>
      <w:r>
        <w:t xml:space="preserve">Hypotheses clearly and formally stated: 10%</w:t>
      </w:r>
    </w:p>
    <w:p>
      <w:pPr>
        <w:pStyle w:val="Compact"/>
        <w:numPr>
          <w:ilvl w:val="0"/>
          <w:numId w:val="1019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19"/>
        </w:numPr>
      </w:pPr>
      <w:r>
        <w:t xml:space="preserve">Critical Thinking (10%)</w:t>
      </w:r>
    </w:p>
    <w:p>
      <w:pPr>
        <w:pStyle w:val="Compact"/>
        <w:numPr>
          <w:ilvl w:val="0"/>
          <w:numId w:val="1019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20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20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1"/>
        </w:numPr>
      </w:pPr>
      <w:r>
        <w:t xml:space="preserve">Technical Accuracy (50%)</w:t>
      </w:r>
    </w:p>
    <w:p>
      <w:pPr>
        <w:pStyle w:val="Compact"/>
        <w:numPr>
          <w:ilvl w:val="0"/>
          <w:numId w:val="102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0"/>
          <w:numId w:val="1021"/>
        </w:numPr>
      </w:pPr>
      <w:r>
        <w:t xml:space="preserve">Accurate paraphrasing of statistical results: 15%</w:t>
      </w:r>
    </w:p>
    <w:p>
      <w:pPr>
        <w:pStyle w:val="Compact"/>
        <w:numPr>
          <w:ilvl w:val="0"/>
          <w:numId w:val="102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21"/>
        </w:numPr>
      </w:pPr>
      <w:r>
        <w:t xml:space="preserve">Depth of Analysis (20%)</w:t>
      </w:r>
    </w:p>
    <w:p>
      <w:pPr>
        <w:pStyle w:val="Compact"/>
        <w:numPr>
          <w:ilvl w:val="0"/>
          <w:numId w:val="1021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0"/>
          <w:numId w:val="1021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2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21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0"/>
          <w:numId w:val="1021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21"/>
        </w:numPr>
      </w:pPr>
      <w:r>
        <w:t xml:space="preserve">Critical Thinking (10%)</w:t>
      </w:r>
    </w:p>
    <w:p>
      <w:pPr>
        <w:pStyle w:val="Compact"/>
        <w:numPr>
          <w:ilvl w:val="0"/>
          <w:numId w:val="1021"/>
        </w:numPr>
      </w:pPr>
      <w:r>
        <w:t xml:space="preserve">Limitations clearly acknowledged and reflected on: 5%</w:t>
      </w:r>
    </w:p>
    <w:p>
      <w:pPr>
        <w:pStyle w:val="Compact"/>
        <w:numPr>
          <w:ilvl w:val="0"/>
          <w:numId w:val="1021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Ribric (2025)</dc:title>
  <dc:creator>Smit, A. J.</dc:creator>
  <dc:language>en-GB</dc:language>
  <cp:keywords/>
  <dcterms:created xsi:type="dcterms:W3CDTF">2025-05-31T15:02:04Z</dcterms:created>
  <dcterms:modified xsi:type="dcterms:W3CDTF">2025-05-31T15:02:04Z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