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40"/>
      </w:pPr>
      <w:r>
        <w:rPr>
          <w:rFonts w:ascii="Calibri" w:hAnsi="Calibri"/>
          <w:b/>
          <w:color w:val="1B365D"/>
          <w:sz w:val="44"/>
        </w:rPr>
        <w:t>High-Integrity C Programming Coding Standard Manual</w:t>
      </w:r>
    </w:p>
    <w:p>
      <w:pPr>
        <w:spacing w:after="240"/>
      </w:pPr>
      <w:r>
        <w:rPr>
          <w:rFonts w:ascii="Calibri" w:hAnsi="Calibri"/>
          <w:i/>
          <w:color w:val="5C768D"/>
          <w:sz w:val="24"/>
        </w:rPr>
        <w:t>Harmonized Coding Guidelines &amp; Practical Compliance Examples for Safety-Critical Software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0C4DE"/>
          <w:bottom w:val="single" w:sz="4" w:space="0" w:color="B0C4DE"/>
          <w:left w:val="none"/>
          <w:right w:val="none"/>
          <w:insideH w:val="single" w:sz="4" w:space="0" w:color="B0C4DE"/>
          <w:insideV w:val="none"/>
        </w:tblBorders>
      </w:tblPr>
      <w:tblGrid>
        <w:gridCol w:w="4514"/>
        <w:gridCol w:w="4514"/>
      </w:tblGrid>
      <w:tr>
        <w:tc>
          <w:tcPr>
            <w:tcW w:type="dxa" w:w="451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b/>
                <w:sz w:val="19"/>
              </w:rPr>
              <w:t>Document Reference:</w:t>
            </w:r>
            <w:r>
              <w:rPr>
                <w:sz w:val="19"/>
              </w:rPr>
              <w:t xml:space="preserve"> QA-CS-001</w:t>
            </w:r>
          </w:p>
        </w:tc>
        <w:tc>
          <w:tcPr>
            <w:tcW w:type="dxa" w:w="451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b/>
                <w:sz w:val="19"/>
              </w:rPr>
              <w:t>Version / Date:</w:t>
            </w:r>
            <w:r>
              <w:rPr>
                <w:sz w:val="19"/>
              </w:rPr>
              <w:t xml:space="preserve"> 2.0 | 24-07-2026</w:t>
            </w:r>
          </w:p>
        </w:tc>
      </w:tr>
      <w:tr>
        <w:tc>
          <w:tcPr>
            <w:tcW w:type="dxa" w:w="451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b/>
                <w:sz w:val="19"/>
              </w:rPr>
              <w:t>Classification:</w:t>
            </w:r>
            <w:r>
              <w:rPr>
                <w:sz w:val="19"/>
              </w:rPr>
              <w:t xml:space="preserve"> Internal / Quality Assurance Baseline</w:t>
            </w:r>
          </w:p>
        </w:tc>
        <w:tc>
          <w:tcPr>
            <w:tcW w:type="dxa" w:w="451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b/>
                <w:sz w:val="19"/>
              </w:rPr>
              <w:t>Target Domains:</w:t>
            </w:r>
            <w:r>
              <w:rPr>
                <w:sz w:val="19"/>
              </w:rPr>
              <w:t xml:space="preserve"> Automotive, Defence, Aerospace, Rail, Industrial</w:t>
            </w:r>
          </w:p>
        </w:tc>
      </w:tr>
    </w:tbl>
    <w:p>
      <w:pPr>
        <w:spacing w:after="160"/>
      </w:pPr>
    </w:p>
    <w:p>
      <w:pPr>
        <w:keepNext/>
        <w:spacing w:before="320" w:after="120"/>
      </w:pPr>
      <w:r>
        <w:rPr>
          <w:rFonts w:ascii="Calibri" w:hAnsi="Calibri"/>
          <w:b/>
          <w:color w:val="1B365D"/>
          <w:sz w:val="32"/>
        </w:rPr>
        <w:t>1. Document Control &amp; Metadata</w:t>
      </w:r>
    </w:p>
    <w:p>
      <w:pPr>
        <w:keepNext/>
        <w:spacing w:before="240" w:after="80"/>
      </w:pPr>
      <w:r>
        <w:rPr>
          <w:rFonts w:ascii="Calibri" w:hAnsi="Calibri"/>
          <w:b/>
          <w:color w:val="5C768D"/>
          <w:sz w:val="26"/>
        </w:rPr>
        <w:t>1.1 Revision History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1D5DB"/>
          <w:bottom w:val="single" w:sz="4" w:space="0" w:color="D1D5DB"/>
          <w:left w:val="none"/>
          <w:right w:val="none"/>
          <w:insideH w:val="single" w:sz="4" w:space="0" w:color="D1D5DB"/>
          <w:insideV w:val="none"/>
        </w:tblBorders>
      </w:tblPr>
      <w:tblGrid>
        <w:gridCol w:w="2257"/>
        <w:gridCol w:w="2257"/>
        <w:gridCol w:w="2257"/>
        <w:gridCol w:w="2257"/>
      </w:tblGrid>
      <w:tr>
        <w:tc>
          <w:tcPr>
            <w:tcW w:type="dxa" w:w="2257"/>
            <w:shd w:fill="1B365D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b/>
                <w:color w:val="FFFFFF"/>
                <w:sz w:val="19"/>
              </w:rPr>
              <w:t>Version</w:t>
            </w:r>
          </w:p>
        </w:tc>
        <w:tc>
          <w:tcPr>
            <w:tcW w:type="dxa" w:w="2257"/>
            <w:shd w:fill="1B365D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b/>
                <w:color w:val="FFFFFF"/>
                <w:sz w:val="19"/>
              </w:rPr>
              <w:t>Date</w:t>
            </w:r>
          </w:p>
        </w:tc>
        <w:tc>
          <w:tcPr>
            <w:tcW w:type="dxa" w:w="2257"/>
            <w:shd w:fill="1B365D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b/>
                <w:color w:val="FFFFFF"/>
                <w:sz w:val="19"/>
              </w:rPr>
              <w:t>Author</w:t>
            </w:r>
          </w:p>
        </w:tc>
        <w:tc>
          <w:tcPr>
            <w:tcW w:type="dxa" w:w="2257"/>
            <w:shd w:fill="1B365D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b/>
                <w:color w:val="FFFFFF"/>
                <w:sz w:val="19"/>
              </w:rPr>
              <w:t>Description</w:t>
            </w:r>
          </w:p>
        </w:tc>
      </w:tr>
      <w:tr>
        <w:tc>
          <w:tcPr>
            <w:tcW w:type="dxa" w:w="2257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1.0</w:t>
            </w:r>
          </w:p>
        </w:tc>
        <w:tc>
          <w:tcPr>
            <w:tcW w:type="dxa" w:w="2257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DD-MM-YYYY</w:t>
            </w:r>
          </w:p>
        </w:tc>
        <w:tc>
          <w:tcPr>
            <w:tcW w:type="dxa" w:w="2257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QA Team / Software Lead</w:t>
            </w:r>
          </w:p>
        </w:tc>
        <w:tc>
          <w:tcPr>
            <w:tcW w:type="dxa" w:w="2257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Initial Baseline (MISRA C:2023 / Automotive focus)</w:t>
            </w:r>
          </w:p>
        </w:tc>
      </w:tr>
      <w:tr>
        <w:tc>
          <w:tcPr>
            <w:tcW w:type="dxa" w:w="2257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2.0</w:t>
            </w:r>
          </w:p>
        </w:tc>
        <w:tc>
          <w:tcPr>
            <w:tcW w:type="dxa" w:w="2257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24-07-2026</w:t>
            </w:r>
          </w:p>
        </w:tc>
        <w:tc>
          <w:tcPr>
            <w:tcW w:type="dxa" w:w="2257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QA Systems Engineering</w:t>
            </w:r>
          </w:p>
        </w:tc>
        <w:tc>
          <w:tcPr>
            <w:tcW w:type="dxa" w:w="2257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Multi-Domain Harmonization (DO-178C, Def Stan 00-056/00-55, EN 50128/50657, IEC 61508)</w:t>
            </w:r>
          </w:p>
        </w:tc>
      </w:tr>
    </w:tbl>
    <w:p>
      <w:pPr>
        <w:keepNext/>
        <w:spacing w:before="240" w:after="80"/>
      </w:pPr>
      <w:r>
        <w:rPr>
          <w:rFonts w:ascii="Calibri" w:hAnsi="Calibri"/>
          <w:b/>
          <w:color w:val="5C768D"/>
          <w:sz w:val="26"/>
        </w:rPr>
        <w:t>1.2 Standard Cross-Reference Matrix</w:t>
      </w:r>
    </w:p>
    <w:p>
      <w:pPr>
        <w:spacing w:after="120"/>
      </w:pPr>
      <w:r>
        <w:t>This coding standard harmonizes software compliance requirements across international domain-specific safety, security, and quality standards: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1D5DB"/>
          <w:bottom w:val="single" w:sz="4" w:space="0" w:color="D1D5DB"/>
          <w:left w:val="none"/>
          <w:right w:val="none"/>
          <w:insideH w:val="single" w:sz="4" w:space="0" w:color="D1D5DB"/>
          <w:insideV w:val="none"/>
        </w:tblBorders>
      </w:tblPr>
      <w:tblGrid>
        <w:gridCol w:w="3010"/>
        <w:gridCol w:w="3010"/>
        <w:gridCol w:w="3010"/>
      </w:tblGrid>
      <w:tr>
        <w:tc>
          <w:tcPr>
            <w:tcW w:type="dxa" w:w="3010"/>
            <w:shd w:fill="1B365D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Standard / Body</w:t>
            </w:r>
          </w:p>
        </w:tc>
        <w:tc>
          <w:tcPr>
            <w:tcW w:type="dxa" w:w="3010"/>
            <w:shd w:fill="1B365D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Applicable Domain</w:t>
            </w:r>
          </w:p>
        </w:tc>
        <w:tc>
          <w:tcPr>
            <w:tcW w:type="dxa" w:w="3010"/>
            <w:shd w:fill="1B365D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Relevance &amp; Application</w:t>
            </w:r>
          </w:p>
        </w:tc>
      </w:tr>
      <w:tr>
        <w:tc>
          <w:tcPr>
            <w:tcW w:type="dxa" w:w="301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MISRA C:2023</w:t>
            </w:r>
          </w:p>
        </w:tc>
        <w:tc>
          <w:tcPr>
            <w:tcW w:type="dxa" w:w="301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General / Automotive</w:t>
            </w:r>
          </w:p>
        </w:tc>
        <w:tc>
          <w:tcPr>
            <w:tcW w:type="dxa" w:w="301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Core rule baseline, language subsets, and concurrency guidelines.</w:t>
            </w:r>
          </w:p>
        </w:tc>
      </w:tr>
      <w:tr>
        <w:tc>
          <w:tcPr>
            <w:tcW w:type="dxa" w:w="301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ISO 26262 (ASIL A-D)</w:t>
            </w:r>
          </w:p>
        </w:tc>
        <w:tc>
          <w:tcPr>
            <w:tcW w:type="dxa" w:w="301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Automotive</w:t>
            </w:r>
          </w:p>
        </w:tc>
        <w:tc>
          <w:tcPr>
            <w:tcW w:type="dxa" w:w="301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Functional safety, SWE.3/SWE.4 static analysis compliance.</w:t>
            </w:r>
          </w:p>
        </w:tc>
      </w:tr>
      <w:tr>
        <w:tc>
          <w:tcPr>
            <w:tcW w:type="dxa" w:w="301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RTCA DO-178C / ED-12C</w:t>
            </w:r>
          </w:p>
        </w:tc>
        <w:tc>
          <w:tcPr>
            <w:tcW w:type="dxa" w:w="301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Aerospace &amp; Defence</w:t>
            </w:r>
          </w:p>
        </w:tc>
        <w:tc>
          <w:tcPr>
            <w:tcW w:type="dxa" w:w="301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Software verification, low-level testing, determinism, and traceability.</w:t>
            </w:r>
          </w:p>
        </w:tc>
      </w:tr>
      <w:tr>
        <w:tc>
          <w:tcPr>
            <w:tcW w:type="dxa" w:w="301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EN 50128 / EN 50657</w:t>
            </w:r>
          </w:p>
        </w:tc>
        <w:tc>
          <w:tcPr>
            <w:tcW w:type="dxa" w:w="301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Railway Applications</w:t>
            </w:r>
          </w:p>
        </w:tc>
        <w:tc>
          <w:tcPr>
            <w:tcW w:type="dxa" w:w="301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Signal/Rolling stock protection, formal static analysis, structural testing.</w:t>
            </w:r>
          </w:p>
        </w:tc>
      </w:tr>
      <w:tr>
        <w:tc>
          <w:tcPr>
            <w:tcW w:type="dxa" w:w="301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UK Def Stan 00-056 / 00-55</w:t>
            </w:r>
          </w:p>
        </w:tc>
        <w:tc>
          <w:tcPr>
            <w:tcW w:type="dxa" w:w="301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Defence Equipment</w:t>
            </w:r>
          </w:p>
        </w:tc>
        <w:tc>
          <w:tcPr>
            <w:tcW w:type="dxa" w:w="301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Hazard analysis, formal specification, target safety cases.</w:t>
            </w:r>
          </w:p>
        </w:tc>
      </w:tr>
      <w:tr>
        <w:tc>
          <w:tcPr>
            <w:tcW w:type="dxa" w:w="301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CERT C / ISO/IEC 9899</w:t>
            </w:r>
          </w:p>
        </w:tc>
        <w:tc>
          <w:tcPr>
            <w:tcW w:type="dxa" w:w="301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Cyber Security / C Standard</w:t>
            </w:r>
          </w:p>
        </w:tc>
        <w:tc>
          <w:tcPr>
            <w:tcW w:type="dxa" w:w="301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Secure coding standards and C standard language enforcement.</w:t>
            </w:r>
          </w:p>
        </w:tc>
      </w:tr>
    </w:tbl>
    <w:p>
      <w:pPr>
        <w:keepNext/>
        <w:spacing w:before="320" w:after="120"/>
      </w:pPr>
      <w:r>
        <w:rPr>
          <w:rFonts w:ascii="Calibri" w:hAnsi="Calibri"/>
          <w:b/>
          <w:color w:val="1B365D"/>
          <w:sz w:val="32"/>
        </w:rPr>
        <w:t>2. Purpose &amp; Scope</w:t>
      </w:r>
    </w:p>
    <w:p>
      <w:pPr>
        <w:keepNext/>
        <w:spacing w:before="240" w:after="80"/>
      </w:pPr>
      <w:r>
        <w:rPr>
          <w:rFonts w:ascii="Calibri" w:hAnsi="Calibri"/>
          <w:b/>
          <w:color w:val="5C768D"/>
          <w:sz w:val="26"/>
        </w:rPr>
        <w:t>2.1 Purpose</w:t>
      </w:r>
    </w:p>
    <w:p>
      <w:pPr>
        <w:pStyle w:val="ListBullet"/>
        <w:spacing w:before="0" w:after="60"/>
      </w:pPr>
      <w:r>
        <w:rPr>
          <w:color w:val="2D3748"/>
        </w:rPr>
        <w:t>Eliminating Undefined, Unspecified, and Implementation-Defined behavior.</w:t>
      </w:r>
    </w:p>
    <w:p>
      <w:pPr>
        <w:pStyle w:val="ListBullet"/>
        <w:spacing w:before="0" w:after="60"/>
      </w:pPr>
      <w:r>
        <w:rPr>
          <w:color w:val="2D3748"/>
        </w:rPr>
        <w:t>Guaranteeing predictable execution timing, determinism, and strict stack boundaries.</w:t>
      </w:r>
    </w:p>
    <w:p>
      <w:pPr>
        <w:pStyle w:val="ListBullet"/>
        <w:spacing w:before="0" w:after="60"/>
      </w:pPr>
      <w:r>
        <w:rPr>
          <w:color w:val="2D3748"/>
        </w:rPr>
        <w:t>Streamlining verification across independent regulatory audits (FAA, EASA, CENELEC, MOD, TÜV).</w:t>
      </w:r>
    </w:p>
    <w:p>
      <w:pPr>
        <w:keepNext/>
        <w:spacing w:before="240" w:after="80"/>
      </w:pPr>
      <w:r>
        <w:rPr>
          <w:rFonts w:ascii="Calibri" w:hAnsi="Calibri"/>
          <w:b/>
          <w:color w:val="5C768D"/>
          <w:sz w:val="26"/>
        </w:rPr>
        <w:t>2.2 Scope</w:t>
      </w:r>
    </w:p>
    <w:p>
      <w:pPr>
        <w:pStyle w:val="ListBullet"/>
        <w:spacing w:before="0" w:after="60"/>
      </w:pPr>
      <w:r>
        <w:rPr>
          <w:b/>
          <w:color w:val="2D3748"/>
        </w:rPr>
        <w:t xml:space="preserve">Target Systems: </w:t>
      </w:r>
      <w:r>
        <w:rPr>
          <w:color w:val="2D3748"/>
        </w:rPr>
        <w:t>Applicable to all embedded C codebases across target domains including Application Software, Bootloaders, BSPs, Device Drivers, Middleware, RTOS Interfaces, Diagnostic Stacks, and AUTOSAR/POSIX Modules.</w:t>
      </w:r>
    </w:p>
    <w:p>
      <w:pPr>
        <w:pStyle w:val="ListBullet"/>
        <w:spacing w:before="0" w:after="60"/>
      </w:pPr>
      <w:r>
        <w:rPr>
          <w:b/>
          <w:color w:val="2D3748"/>
        </w:rPr>
        <w:t xml:space="preserve">Exclusions: </w:t>
      </w:r>
      <w:r>
        <w:rPr>
          <w:color w:val="2D3748"/>
        </w:rPr>
        <w:t>Third-party binary drivers or pre-qualified legacy code require formal safety-case justification, hazard analysis, and sandbox wrapper isolates.</w:t>
      </w:r>
    </w:p>
    <w:p>
      <w:pPr>
        <w:keepNext/>
        <w:spacing w:before="320" w:after="120"/>
      </w:pPr>
      <w:r>
        <w:rPr>
          <w:rFonts w:ascii="Calibri" w:hAnsi="Calibri"/>
          <w:b/>
          <w:color w:val="1B365D"/>
          <w:sz w:val="32"/>
        </w:rPr>
        <w:t>3. Language Subsetting &amp; Compiler Settings</w:t>
      </w:r>
    </w:p>
    <w:p>
      <w:pPr>
        <w:keepNext/>
        <w:spacing w:before="240" w:after="80"/>
      </w:pPr>
      <w:r>
        <w:rPr>
          <w:rFonts w:ascii="Calibri" w:hAnsi="Calibri"/>
          <w:b/>
          <w:color w:val="5C768D"/>
          <w:sz w:val="26"/>
        </w:rPr>
        <w:t>3.1 Supported C Standards</w:t>
      </w:r>
    </w:p>
    <w:p>
      <w:pPr>
        <w:pStyle w:val="ListBullet"/>
        <w:spacing w:before="0" w:after="60"/>
      </w:pPr>
      <w:r>
        <w:rPr>
          <w:color w:val="2D3748"/>
        </w:rPr>
        <w:t>ISO/IEC 9899:1990 (C90), ISO/IEC 9899:1999 (C99), ISO/IEC 9899:2011 (C11), ISO/IEC 9899:2018 (C18).</w:t>
      </w:r>
    </w:p>
    <w:p>
      <w:pPr>
        <w:pStyle w:val="ListBullet"/>
        <w:spacing w:before="0" w:after="60"/>
      </w:pPr>
      <w:r>
        <w:rPr>
          <w:color w:val="2D3748"/>
        </w:rPr>
        <w:t>Language extensions (e.g., inline assembly, compiler-specific attributes) are strictly prohibited unless explicitly isolated inside documented abstraction wrappers and approved via a formal deviation process.</w:t>
      </w:r>
    </w:p>
    <w:p>
      <w:pPr>
        <w:keepNext/>
        <w:spacing w:before="240" w:after="80"/>
      </w:pPr>
      <w:r>
        <w:rPr>
          <w:rFonts w:ascii="Calibri" w:hAnsi="Calibri"/>
          <w:b/>
          <w:color w:val="5C768D"/>
          <w:sz w:val="26"/>
        </w:rPr>
        <w:t>3.2 Compiler Configuration</w:t>
      </w:r>
    </w:p>
    <w:p>
      <w:pPr>
        <w:pStyle w:val="ListBullet"/>
        <w:spacing w:before="0" w:after="60"/>
      </w:pPr>
      <w:r>
        <w:rPr>
          <w:b/>
          <w:color w:val="2D3748"/>
        </w:rPr>
        <w:t xml:space="preserve">Warning Levels: </w:t>
      </w:r>
      <w:r>
        <w:rPr>
          <w:color w:val="2D3748"/>
        </w:rPr>
        <w:t>Enable maximum diagnostics flags (-Wall -Wextra -Wpedantic -Wshadow -Wconversion -Wstrict-prototypes).</w:t>
      </w:r>
    </w:p>
    <w:p>
      <w:pPr>
        <w:pStyle w:val="ListBullet"/>
        <w:spacing w:before="0" w:after="60"/>
      </w:pPr>
      <w:r>
        <w:rPr>
          <w:b/>
          <w:color w:val="2D3748"/>
        </w:rPr>
        <w:t xml:space="preserve">Treat Warnings as Errors: </w:t>
      </w:r>
      <w:r>
        <w:rPr>
          <w:color w:val="2D3748"/>
        </w:rPr>
        <w:t>All warnings shall be treated as errors (-Werror). Zero warnings are allowed in production release builds.</w:t>
      </w:r>
    </w:p>
    <w:p>
      <w:pPr>
        <w:pStyle w:val="ListBullet"/>
        <w:spacing w:before="0" w:after="60"/>
      </w:pPr>
      <w:r>
        <w:rPr>
          <w:b/>
          <w:color w:val="2D3748"/>
        </w:rPr>
        <w:t xml:space="preserve">Optimization &amp; Stack Safety: </w:t>
      </w:r>
      <w:r>
        <w:rPr>
          <w:color w:val="2D3748"/>
        </w:rPr>
        <w:t>Optimizations affecting evaluation order or stack layout must be validated on hardware. Stack checking mechanisms (-fstack-protector-all) shall be activated.</w:t>
      </w:r>
    </w:p>
    <w:p>
      <w:pPr>
        <w:keepNext/>
        <w:spacing w:before="320" w:after="120"/>
      </w:pPr>
      <w:r>
        <w:rPr>
          <w:rFonts w:ascii="Calibri" w:hAnsi="Calibri"/>
          <w:b/>
          <w:color w:val="1B365D"/>
          <w:sz w:val="32"/>
        </w:rPr>
        <w:t>4. Source Formatting &amp; Naming Conventions</w:t>
      </w:r>
    </w:p>
    <w:p>
      <w:pPr>
        <w:keepNext/>
        <w:spacing w:before="240" w:after="80"/>
      </w:pPr>
      <w:r>
        <w:rPr>
          <w:rFonts w:ascii="Calibri" w:hAnsi="Calibri"/>
          <w:b/>
          <w:color w:val="5C768D"/>
          <w:sz w:val="26"/>
        </w:rPr>
        <w:t>4.1 Formatting Rules</w:t>
      </w:r>
    </w:p>
    <w:p>
      <w:pPr>
        <w:pStyle w:val="ListBullet"/>
        <w:spacing w:before="0" w:after="60"/>
      </w:pPr>
      <w:r>
        <w:rPr>
          <w:b/>
          <w:color w:val="2D3748"/>
        </w:rPr>
        <w:t xml:space="preserve">Indentation: </w:t>
      </w:r>
      <w:r>
        <w:rPr>
          <w:color w:val="2D3748"/>
        </w:rPr>
        <w:t>Exactly 4 spaces per level. Hard tabs (\t) are strictly prohibited.</w:t>
      </w:r>
    </w:p>
    <w:p>
      <w:pPr>
        <w:pStyle w:val="ListBullet"/>
        <w:spacing w:before="0" w:after="60"/>
      </w:pPr>
      <w:r>
        <w:rPr>
          <w:b/>
          <w:color w:val="2D3748"/>
        </w:rPr>
        <w:t xml:space="preserve">Line Width: </w:t>
      </w:r>
      <w:r>
        <w:rPr>
          <w:color w:val="2D3748"/>
        </w:rPr>
        <w:t>Standard limit is 120 characters (maximum 80 characters for complex multi-operand conditional statements).</w:t>
      </w:r>
    </w:p>
    <w:p>
      <w:pPr>
        <w:pStyle w:val="ListBullet"/>
        <w:spacing w:before="0" w:after="60"/>
      </w:pPr>
      <w:r>
        <w:rPr>
          <w:b/>
          <w:color w:val="2D3748"/>
        </w:rPr>
        <w:t xml:space="preserve">Braces: </w:t>
      </w:r>
      <w:r>
        <w:rPr>
          <w:color w:val="2D3748"/>
        </w:rPr>
        <w:t>Mandatory for all control constructs (if, else, while, for, do-while, switch). The opening brace must sit on a new line aligned with the control statement.</w:t>
      </w:r>
    </w:p>
    <w:p>
      <w:pPr>
        <w:keepNext/>
        <w:spacing w:before="240" w:after="80"/>
      </w:pPr>
      <w:r>
        <w:rPr>
          <w:rFonts w:ascii="Calibri" w:hAnsi="Calibri"/>
          <w:b/>
          <w:color w:val="5C768D"/>
          <w:sz w:val="26"/>
        </w:rPr>
        <w:t>4.2 File Header Structure</w:t>
      </w:r>
    </w:p>
    <w:p>
      <w:pPr>
        <w:spacing w:after="80"/>
      </w:pPr>
      <w:r>
        <w:t>Every source (.c) and header (.h) file must begin with a standardized header block: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029"/>
      </w:tblGrid>
      <w:tr>
        <w:tc>
          <w:tcPr>
            <w:tcW w:type="dxa" w:w="9029"/>
            <w:shd w:fill="F4F6F9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top w:val="single" w:sz="4" w:color="D1D5DB"/>
              <w:left w:val="single" w:sz="12" w:color="1B365D"/>
              <w:bottom w:val="single" w:sz="4" w:color="D1D5DB"/>
              <w:right w:val="single" w:sz="4" w:color="D1D5DB"/>
            </w:tcBorders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8"/>
              </w:rPr>
              <w:t>/*******************************************************************************</w:t>
              <w:br/>
              <w:t>* Company Name   : &lt;Company / Organization Name&gt;</w:t>
              <w:br/>
              <w:t>* File Name      : system_monitor.c</w:t>
              <w:br/>
              <w:t>* Module         : Health Monitoring Unit</w:t>
              <w:br/>
              <w:t>* Author         : QA / Embedded Systems Engineering</w:t>
              <w:br/>
              <w:t>* Standard Ref   : MISRA C:2023 / DO-178C DAL-A / EN 50128 SIL-4</w:t>
              <w:br/>
              <w:t>* Target Domain  : Aerospace / Defence / Rail / Automotive</w:t>
              <w:br/>
              <w:t>* Description    : High-integrity system status verification module.</w:t>
              <w:br/>
              <w:t>* Copyright      : Copyright (c) 2026 &lt;Company Name&gt;. All Rights Reserved.</w:t>
              <w:br/>
              <w:t>*******************************************************************************/</w:t>
            </w:r>
          </w:p>
        </w:tc>
      </w:tr>
    </w:tbl>
    <w:p>
      <w:pPr>
        <w:spacing w:after="80"/>
      </w:pPr>
    </w:p>
    <w:p>
      <w:pPr>
        <w:keepNext/>
        <w:spacing w:before="240" w:after="80"/>
      </w:pPr>
      <w:r>
        <w:rPr>
          <w:rFonts w:ascii="Calibri" w:hAnsi="Calibri"/>
          <w:b/>
          <w:color w:val="5C768D"/>
          <w:sz w:val="26"/>
        </w:rPr>
        <w:t>4.3 Naming Conventions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1D5DB"/>
          <w:bottom w:val="single" w:sz="4" w:space="0" w:color="D1D5DB"/>
          <w:left w:val="none"/>
          <w:right w:val="none"/>
          <w:insideH w:val="single" w:sz="4" w:space="0" w:color="D1D5DB"/>
          <w:insideV w:val="none"/>
        </w:tblBorders>
      </w:tblPr>
      <w:tblGrid>
        <w:gridCol w:w="2257"/>
        <w:gridCol w:w="2257"/>
        <w:gridCol w:w="2257"/>
        <w:gridCol w:w="2257"/>
      </w:tblGrid>
      <w:tr>
        <w:tc>
          <w:tcPr>
            <w:tcW w:type="dxa" w:w="2257"/>
            <w:shd w:fill="1B365D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Target Identifier</w:t>
            </w:r>
          </w:p>
        </w:tc>
        <w:tc>
          <w:tcPr>
            <w:tcW w:type="dxa" w:w="2257"/>
            <w:shd w:fill="1B365D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Prefix / Format</w:t>
            </w:r>
          </w:p>
        </w:tc>
        <w:tc>
          <w:tcPr>
            <w:tcW w:type="dxa" w:w="2257"/>
            <w:shd w:fill="1B365D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Example</w:t>
            </w:r>
          </w:p>
        </w:tc>
        <w:tc>
          <w:tcPr>
            <w:tcW w:type="dxa" w:w="2257"/>
            <w:shd w:fill="1B365D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Description / Notes</w:t>
            </w:r>
          </w:p>
        </w:tc>
      </w:tr>
      <w:tr>
        <w:tc>
          <w:tcPr>
            <w:tcW w:type="dxa" w:w="2257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Global Variable</w:t>
            </w:r>
          </w:p>
        </w:tc>
        <w:tc>
          <w:tcPr>
            <w:tcW w:type="dxa" w:w="2257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g_ + camelCase</w:t>
            </w:r>
          </w:p>
        </w:tc>
        <w:tc>
          <w:tcPr>
            <w:tcW w:type="dxa" w:w="2257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g_vehicleSpeed</w:t>
            </w:r>
          </w:p>
        </w:tc>
        <w:tc>
          <w:tcPr>
            <w:tcW w:type="dxa" w:w="2257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Minimize global usage; require atomic access or locks.</w:t>
            </w:r>
          </w:p>
        </w:tc>
      </w:tr>
      <w:tr>
        <w:tc>
          <w:tcPr>
            <w:tcW w:type="dxa" w:w="2257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Static Variable</w:t>
            </w:r>
          </w:p>
        </w:tc>
        <w:tc>
          <w:tcPr>
            <w:tcW w:type="dxa" w:w="2257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s_ + camelCase</w:t>
            </w:r>
          </w:p>
        </w:tc>
        <w:tc>
          <w:tcPr>
            <w:tcW w:type="dxa" w:w="2257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s_retryCounter</w:t>
            </w:r>
          </w:p>
        </w:tc>
        <w:tc>
          <w:tcPr>
            <w:tcW w:type="dxa" w:w="2257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Module-scoped static variable.</w:t>
            </w:r>
          </w:p>
        </w:tc>
      </w:tr>
      <w:tr>
        <w:tc>
          <w:tcPr>
            <w:tcW w:type="dxa" w:w="2257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Pointer Variable</w:t>
            </w:r>
          </w:p>
        </w:tc>
        <w:tc>
          <w:tcPr>
            <w:tcW w:type="dxa" w:w="2257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p + CamelCase</w:t>
            </w:r>
          </w:p>
        </w:tc>
        <w:tc>
          <w:tcPr>
            <w:tcW w:type="dxa" w:w="2257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pBuffer</w:t>
            </w:r>
          </w:p>
        </w:tc>
        <w:tc>
          <w:tcPr>
            <w:tcW w:type="dxa" w:w="2257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Must be explicitly checked against NULL.</w:t>
            </w:r>
          </w:p>
        </w:tc>
      </w:tr>
      <w:tr>
        <w:tc>
          <w:tcPr>
            <w:tcW w:type="dxa" w:w="2257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Constants / Macros</w:t>
            </w:r>
          </w:p>
        </w:tc>
        <w:tc>
          <w:tcPr>
            <w:tcW w:type="dxa" w:w="2257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UPPER_SNAKE_CASE</w:t>
            </w:r>
          </w:p>
        </w:tc>
        <w:tc>
          <w:tcPr>
            <w:tcW w:type="dxa" w:w="2257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MAX_BUFFER_SIZE</w:t>
            </w:r>
          </w:p>
        </w:tc>
        <w:tc>
          <w:tcPr>
            <w:tcW w:type="dxa" w:w="2257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Macro or compile-time constant definitions.</w:t>
            </w:r>
          </w:p>
        </w:tc>
      </w:tr>
      <w:tr>
        <w:tc>
          <w:tcPr>
            <w:tcW w:type="dxa" w:w="2257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Type Definitions</w:t>
            </w:r>
          </w:p>
        </w:tc>
        <w:tc>
          <w:tcPr>
            <w:tcW w:type="dxa" w:w="2257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PascalCase_t</w:t>
            </w:r>
          </w:p>
        </w:tc>
        <w:tc>
          <w:tcPr>
            <w:tcW w:type="dxa" w:w="2257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SensorStatus_t</w:t>
            </w:r>
          </w:p>
        </w:tc>
        <w:tc>
          <w:tcPr>
            <w:tcW w:type="dxa" w:w="2257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Typedef structures, unions, and enums.</w:t>
            </w:r>
          </w:p>
        </w:tc>
      </w:tr>
      <w:tr>
        <w:tc>
          <w:tcPr>
            <w:tcW w:type="dxa" w:w="2257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Functions</w:t>
            </w:r>
          </w:p>
        </w:tc>
        <w:tc>
          <w:tcPr>
            <w:tcW w:type="dxa" w:w="2257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Module_PascalCase()</w:t>
            </w:r>
          </w:p>
        </w:tc>
        <w:tc>
          <w:tcPr>
            <w:tcW w:type="dxa" w:w="2257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Sensor_ReadVal()</w:t>
            </w:r>
          </w:p>
        </w:tc>
        <w:tc>
          <w:tcPr>
            <w:tcW w:type="dxa" w:w="2257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Explicit, action-oriented verb name.</w:t>
            </w:r>
          </w:p>
        </w:tc>
      </w:tr>
      <w:tr>
        <w:tc>
          <w:tcPr>
            <w:tcW w:type="dxa" w:w="2257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Enum Constants</w:t>
            </w:r>
          </w:p>
        </w:tc>
        <w:tc>
          <w:tcPr>
            <w:tcW w:type="dxa" w:w="2257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PREFIX_UPPER_CASE</w:t>
            </w:r>
          </w:p>
        </w:tc>
        <w:tc>
          <w:tcPr>
            <w:tcW w:type="dxa" w:w="2257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STATE_RUNNING</w:t>
            </w:r>
          </w:p>
        </w:tc>
        <w:tc>
          <w:tcPr>
            <w:tcW w:type="dxa" w:w="2257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Domain-prefixed enum members.</w:t>
            </w:r>
          </w:p>
        </w:tc>
      </w:tr>
    </w:tbl>
    <w:p>
      <w:pPr>
        <w:keepNext/>
        <w:spacing w:before="320" w:after="120"/>
      </w:pPr>
      <w:r>
        <w:rPr>
          <w:rFonts w:ascii="Calibri" w:hAnsi="Calibri"/>
          <w:b/>
          <w:color w:val="1B365D"/>
          <w:sz w:val="32"/>
        </w:rPr>
        <w:t>5. Detailed Coding Rules &amp; Compliance Examples</w:t>
      </w:r>
    </w:p>
    <w:p>
      <w:pPr>
        <w:keepNext/>
        <w:spacing w:before="240" w:after="80"/>
      </w:pPr>
      <w:r>
        <w:rPr>
          <w:rFonts w:ascii="Calibri" w:hAnsi="Calibri"/>
          <w:b/>
          <w:color w:val="5C768D"/>
          <w:sz w:val="26"/>
        </w:rPr>
        <w:t>5.1 Types, Data Initialization &amp; Constants</w:t>
      </w:r>
    </w:p>
    <w:p>
      <w:pPr>
        <w:keepNext/>
        <w:spacing w:before="160" w:after="40"/>
      </w:pPr>
      <w:r>
        <w:rPr>
          <w:rFonts w:ascii="Calibri" w:hAnsi="Calibri"/>
          <w:b/>
          <w:i/>
          <w:color w:val="1B365D"/>
          <w:sz w:val="22"/>
        </w:rPr>
        <w:t>Rule: Fixed-Width Integers &amp; Magic Numbers</w:t>
      </w:r>
    </w:p>
    <w:p>
      <w:pPr>
        <w:spacing w:after="80"/>
      </w:pPr>
      <w:r>
        <w:t>Standard C basic types (int, short, long, char) are prohibited for numerical data due to architecture dependencies. Developers must explicitly import &lt;stdint.h&gt; and &lt;stdbool.h&gt;. All variables must be initialized at declaration, and numerical constants must use explicit suffixes (e.g., U) and named macros.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029"/>
      </w:tblGrid>
      <w:tr>
        <w:tc>
          <w:tcPr>
            <w:tcW w:type="dxa" w:w="9029"/>
            <w:shd w:fill="F4F6F9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top w:val="single" w:sz="4" w:color="D1D5DB"/>
              <w:left w:val="single" w:sz="12" w:color="1B365D"/>
              <w:bottom w:val="single" w:sz="4" w:color="D1D5DB"/>
              <w:right w:val="single" w:sz="4" w:color="D1D5DB"/>
            </w:tcBorders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8"/>
              </w:rPr>
              <w:t>/* NON-COMPLIANT */</w:t>
              <w:br/>
              <w:t>int speed;                         /* Uninitialized, basic C scalar type */</w:t>
              <w:br/>
              <w:t>if (speed &gt; 120)                   /* Magic number usage */</w:t>
              <w:br/>
              <w:t>{</w:t>
              <w:br/>
              <w:t xml:space="preserve">    long duration = 5000;          /* Implicit long type */</w:t>
              <w:br/>
              <w:t>}</w:t>
              <w:br/>
              <w:br/>
              <w:t>/* COMPLIANT */</w:t>
              <w:br/>
              <w:t>#define MAX_VEHICLE_SPEED_KMPH (120U)</w:t>
              <w:br/>
              <w:t>#define TIMEOUT_DURATION_MS    (5000U)</w:t>
              <w:br/>
              <w:br/>
              <w:t>uint16_t u16CurrentSpeed = 0U;     /* Explicit fixed-width type &amp; initialization */</w:t>
              <w:br/>
              <w:t>uint32_t u32TimeoutMs = 0U;</w:t>
              <w:br/>
              <w:br/>
              <w:t>if (u16CurrentSpeed &gt; MAX_VEHICLE_SPEED_KMPH)</w:t>
              <w:br/>
              <w:t>{</w:t>
              <w:br/>
              <w:t xml:space="preserve">    u32TimeoutMs = TIMEOUT_DURATION_MS;</w:t>
              <w:br/>
              <w:t>}</w:t>
            </w:r>
          </w:p>
        </w:tc>
      </w:tr>
    </w:tbl>
    <w:p>
      <w:pPr>
        <w:spacing w:after="80"/>
      </w:pPr>
    </w:p>
    <w:p>
      <w:pPr>
        <w:keepNext/>
        <w:spacing w:before="240" w:after="80"/>
      </w:pPr>
      <w:r>
        <w:rPr>
          <w:rFonts w:ascii="Calibri" w:hAnsi="Calibri"/>
          <w:b/>
          <w:color w:val="5C768D"/>
          <w:sz w:val="26"/>
        </w:rPr>
        <w:t>5.2 Defensive Control Flow &amp; Branching</w:t>
      </w:r>
    </w:p>
    <w:p>
      <w:pPr>
        <w:keepNext/>
        <w:spacing w:before="160" w:after="40"/>
      </w:pPr>
      <w:r>
        <w:rPr>
          <w:rFonts w:ascii="Calibri" w:hAnsi="Calibri"/>
          <w:b/>
          <w:i/>
          <w:color w:val="1B365D"/>
          <w:sz w:val="22"/>
        </w:rPr>
        <w:t>Rule: Mandatory Terminal else &amp; Explicit Branching</w:t>
      </w:r>
    </w:p>
    <w:p>
      <w:pPr>
        <w:spacing w:after="80"/>
      </w:pPr>
      <w:r>
        <w:t>Every if ... else if sequence shall end with a mandatory terminal else block containing explicit fallback/safety logic or an explanatory comment.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029"/>
      </w:tblGrid>
      <w:tr>
        <w:tc>
          <w:tcPr>
            <w:tcW w:type="dxa" w:w="9029"/>
            <w:shd w:fill="F4F6F9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top w:val="single" w:sz="4" w:color="D1D5DB"/>
              <w:left w:val="single" w:sz="12" w:color="1B365D"/>
              <w:bottom w:val="single" w:sz="4" w:color="D1D5DB"/>
              <w:right w:val="single" w:sz="4" w:color="D1D5DB"/>
            </w:tcBorders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8"/>
              </w:rPr>
              <w:t>/* NON-COMPLIANT */</w:t>
              <w:br/>
              <w:t>if (eState == STATE_INIT)</w:t>
              <w:br/>
              <w:t>{</w:t>
              <w:br/>
              <w:t xml:space="preserve">    InitSystem();</w:t>
              <w:br/>
              <w:t>}</w:t>
              <w:br/>
              <w:t>else if (eState == STATE_RUN)</w:t>
              <w:br/>
              <w:t>{</w:t>
              <w:br/>
              <w:t xml:space="preserve">    ProcessSystem();</w:t>
              <w:br/>
              <w:t>}</w:t>
              <w:br/>
              <w:t>/* Missing terminal else: unhandled state leads to non-deterministic execution */</w:t>
              <w:br/>
              <w:br/>
              <w:t>/* COMPLIANT */</w:t>
              <w:br/>
              <w:t>if (eState == STATE_INIT)</w:t>
              <w:br/>
              <w:t>{</w:t>
              <w:br/>
              <w:t xml:space="preserve">    InitSystem();</w:t>
              <w:br/>
              <w:t>}</w:t>
              <w:br/>
              <w:t>else if (eState == STATE_RUN)</w:t>
              <w:br/>
              <w:t>{</w:t>
              <w:br/>
              <w:t xml:space="preserve">    ProcessSystem();</w:t>
              <w:br/>
              <w:t>}</w:t>
              <w:br/>
              <w:t>else</w:t>
              <w:br/>
              <w:t>{</w:t>
              <w:br/>
              <w:t xml:space="preserve">    /* Safe State Recovery for unexpected state transitions */</w:t>
              <w:br/>
              <w:t xml:space="preserve">    TriggerSafetyShutdown();</w:t>
              <w:br/>
              <w:t>}</w:t>
            </w:r>
          </w:p>
        </w:tc>
      </w:tr>
    </w:tbl>
    <w:p>
      <w:pPr>
        <w:spacing w:after="80"/>
      </w:pPr>
    </w:p>
    <w:p>
      <w:pPr>
        <w:keepNext/>
        <w:spacing w:before="160" w:after="40"/>
      </w:pPr>
      <w:r>
        <w:rPr>
          <w:rFonts w:ascii="Calibri" w:hAnsi="Calibri"/>
          <w:b/>
          <w:i/>
          <w:color w:val="1B365D"/>
          <w:sz w:val="22"/>
        </w:rPr>
        <w:t>Rule: switch Statement Complete Termination</w:t>
      </w:r>
    </w:p>
    <w:p>
      <w:pPr>
        <w:spacing w:after="80"/>
      </w:pPr>
      <w:r>
        <w:t>Every switch statement must feature an explicit default: label. Every non-empty case block must terminate with an explicit break; statement.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029"/>
      </w:tblGrid>
      <w:tr>
        <w:tc>
          <w:tcPr>
            <w:tcW w:type="dxa" w:w="9029"/>
            <w:shd w:fill="F4F6F9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top w:val="single" w:sz="4" w:color="D1D5DB"/>
              <w:left w:val="single" w:sz="12" w:color="1B365D"/>
              <w:bottom w:val="single" w:sz="4" w:color="D1D5DB"/>
              <w:right w:val="single" w:sz="4" w:color="D1D5DB"/>
            </w:tcBorders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8"/>
              </w:rPr>
              <w:t>/* NON-COMPLIANT */</w:t>
              <w:br/>
              <w:t>switch (u8Mode)</w:t>
              <w:br/>
              <w:t>{</w:t>
              <w:br/>
              <w:t xml:space="preserve">    case 1U:</w:t>
              <w:br/>
              <w:t xml:space="preserve">        StartMotor();              /* Non-compliant: Unintentional fall-through */</w:t>
              <w:br/>
              <w:t xml:space="preserve">    case 2U:</w:t>
              <w:br/>
              <w:t xml:space="preserve">        StopMotor();</w:t>
              <w:br/>
              <w:t xml:space="preserve">        break;</w:t>
              <w:br/>
              <w:t>}                                  /* Non-compliant: Missing default label */</w:t>
              <w:br/>
              <w:br/>
              <w:t>/* COMPLIANT */</w:t>
              <w:br/>
              <w:t>switch (u8Mode)</w:t>
              <w:br/>
              <w:t>{</w:t>
              <w:br/>
              <w:t xml:space="preserve">    case MOTOR_MODE_START:</w:t>
              <w:br/>
              <w:t xml:space="preserve">    {</w:t>
              <w:br/>
              <w:t xml:space="preserve">        StartMotor();</w:t>
              <w:br/>
              <w:t xml:space="preserve">        break;</w:t>
              <w:br/>
              <w:t xml:space="preserve">    }</w:t>
              <w:br/>
              <w:t xml:space="preserve">    case MOTOR_MODE_STOP:</w:t>
              <w:br/>
              <w:t xml:space="preserve">    {</w:t>
              <w:br/>
              <w:t xml:space="preserve">        StopMotor();</w:t>
              <w:br/>
              <w:t xml:space="preserve">        break;</w:t>
              <w:br/>
              <w:t xml:space="preserve">    }</w:t>
              <w:br/>
              <w:t xml:space="preserve">    default:</w:t>
              <w:br/>
              <w:t xml:space="preserve">    {</w:t>
              <w:br/>
              <w:t xml:space="preserve">        /* Defensive handling of unmapped inputs */</w:t>
              <w:br/>
              <w:t xml:space="preserve">        LogError(ERR_INVALID_MODE);</w:t>
              <w:br/>
              <w:t xml:space="preserve">        TriggerSafetyShutdown();</w:t>
              <w:br/>
              <w:t xml:space="preserve">        break;</w:t>
              <w:br/>
              <w:t xml:space="preserve">    }</w:t>
              <w:br/>
              <w:t>}</w:t>
            </w:r>
          </w:p>
        </w:tc>
      </w:tr>
    </w:tbl>
    <w:p>
      <w:pPr>
        <w:spacing w:after="80"/>
      </w:pPr>
    </w:p>
    <w:p>
      <w:pPr>
        <w:keepNext/>
        <w:spacing w:before="160" w:after="40"/>
      </w:pPr>
      <w:r>
        <w:rPr>
          <w:rFonts w:ascii="Calibri" w:hAnsi="Calibri"/>
          <w:b/>
          <w:i/>
          <w:color w:val="1B365D"/>
          <w:sz w:val="22"/>
        </w:rPr>
        <w:t>Rule: Unconstrained Jumps &amp; Loop Control</w:t>
      </w:r>
    </w:p>
    <w:p>
      <w:pPr>
        <w:pStyle w:val="ListBullet"/>
        <w:spacing w:before="0" w:after="60"/>
      </w:pPr>
      <w:r>
        <w:rPr>
          <w:color w:val="2D3748"/>
        </w:rPr>
        <w:t>The goto construct is strictly prohibited.</w:t>
      </w:r>
    </w:p>
    <w:p>
      <w:pPr>
        <w:pStyle w:val="ListBullet"/>
        <w:spacing w:before="0" w:after="60"/>
      </w:pPr>
      <w:r>
        <w:rPr>
          <w:color w:val="2D3748"/>
        </w:rPr>
        <w:t>break and continue constructs shall not be used to prematurely break execution out of standard iteration loops (for, while) unless formally justified. Loop execution flags must govern loop exit.</w:t>
      </w:r>
    </w:p>
    <w:p>
      <w:pPr>
        <w:keepNext/>
        <w:spacing w:before="240" w:after="80"/>
      </w:pPr>
      <w:r>
        <w:rPr>
          <w:rFonts w:ascii="Calibri" w:hAnsi="Calibri"/>
          <w:b/>
          <w:color w:val="5C768D"/>
          <w:sz w:val="26"/>
        </w:rPr>
        <w:t>5.3 Pointers, Arrays &amp; Memory Safety</w:t>
      </w:r>
    </w:p>
    <w:p>
      <w:pPr>
        <w:keepNext/>
        <w:spacing w:before="160" w:after="40"/>
      </w:pPr>
      <w:r>
        <w:rPr>
          <w:rFonts w:ascii="Calibri" w:hAnsi="Calibri"/>
          <w:b/>
          <w:i/>
          <w:color w:val="1B365D"/>
          <w:sz w:val="22"/>
        </w:rPr>
        <w:t>Rule: Pointer Validation, Array Indexing &amp; Zero Dynamic Memory</w:t>
      </w:r>
    </w:p>
    <w:p>
      <w:pPr>
        <w:spacing w:after="80"/>
      </w:pPr>
      <w:r>
        <w:t>Pointers must be validated against NULL prior to dereferencing. Explicit pointer arithmetic (e.g., *(ptr + i)) is forbidden; use formal array indexing after verifying bounds. Dynamic memory allocations (malloc, calloc, realloc, free) are strictly prohibited in safety runtime code.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029"/>
      </w:tblGrid>
      <w:tr>
        <w:tc>
          <w:tcPr>
            <w:tcW w:type="dxa" w:w="9029"/>
            <w:shd w:fill="F4F6F9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top w:val="single" w:sz="4" w:color="D1D5DB"/>
              <w:left w:val="single" w:sz="12" w:color="1B365D"/>
              <w:bottom w:val="single" w:sz="4" w:color="D1D5DB"/>
              <w:right w:val="single" w:sz="4" w:color="D1D5DB"/>
            </w:tcBorders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8"/>
              </w:rPr>
              <w:t>/* NON-COMPLIANT */</w:t>
              <w:br/>
              <w:t>void ProcessBuffer(uint8_t *pData, uint8_t u8Index)</w:t>
              <w:br/>
              <w:t>{</w:t>
              <w:br/>
              <w:t xml:space="preserve">    *(pData + u8Index) = 0xFF;     /* Non-compliant: No NULL check, pointer arithmetic, no bounds check */</w:t>
              <w:br/>
              <w:t xml:space="preserve">    </w:t>
              <w:br/>
              <w:t xml:space="preserve">    uint8_t *pHeap = (uint8_t*)malloc(100); /* Non-compliant: Dynamic memory in critical code */</w:t>
              <w:br/>
              <w:t>}</w:t>
              <w:br/>
              <w:br/>
              <w:t>/* COMPLIANT */</w:t>
              <w:br/>
              <w:t>#define BUFFER_CAPACITY (64U)</w:t>
              <w:br/>
              <w:br/>
              <w:t>static uint8_t s_u8StaticBuffer[BUFFER_CAPACITY]; /* Static compile-time allocation */</w:t>
              <w:br/>
              <w:br/>
              <w:t>Std_ReturnType ProcessBuffer(const uint8_t * const pData, uint8_t u8Index)</w:t>
              <w:br/>
              <w:t>{</w:t>
              <w:br/>
              <w:t xml:space="preserve">    Std_ReturnType eStatus = E_NOT_OK;</w:t>
              <w:br/>
              <w:br/>
              <w:t xml:space="preserve">    /* Validate pointer and check array boundaries defensively */</w:t>
              <w:br/>
              <w:t xml:space="preserve">    if ((pData != NULL) &amp;&amp; (u8Index &lt; BUFFER_CAPACITY))</w:t>
              <w:br/>
              <w:t xml:space="preserve">    {</w:t>
              <w:br/>
              <w:t xml:space="preserve">        s_u8StaticBuffer[u8Index] = pData[u8Index]; /* Safe indexing */</w:t>
              <w:br/>
              <w:t xml:space="preserve">        eStatus = E_OK;</w:t>
              <w:br/>
              <w:t xml:space="preserve">    }</w:t>
              <w:br/>
              <w:t xml:space="preserve">    else</w:t>
              <w:br/>
              <w:t xml:space="preserve">    {</w:t>
              <w:br/>
              <w:t xml:space="preserve">        /* Parameter validation failed */</w:t>
              <w:br/>
              <w:t xml:space="preserve">        eStatus = E_PARAM_INVALID;</w:t>
              <w:br/>
              <w:t xml:space="preserve">    }</w:t>
              <w:br/>
              <w:br/>
              <w:t xml:space="preserve">    return eStatus;</w:t>
              <w:br/>
              <w:t>}</w:t>
            </w:r>
          </w:p>
        </w:tc>
      </w:tr>
    </w:tbl>
    <w:p>
      <w:pPr>
        <w:spacing w:after="80"/>
      </w:pPr>
    </w:p>
    <w:p>
      <w:pPr>
        <w:keepNext/>
        <w:spacing w:before="240" w:after="80"/>
      </w:pPr>
      <w:r>
        <w:rPr>
          <w:rFonts w:ascii="Calibri" w:hAnsi="Calibri"/>
          <w:b/>
          <w:color w:val="5C768D"/>
          <w:sz w:val="26"/>
        </w:rPr>
        <w:t>5.4 Hardware Registers &amp; Const/Volatile Qualification</w:t>
      </w:r>
    </w:p>
    <w:p>
      <w:pPr>
        <w:keepNext/>
        <w:spacing w:before="160" w:after="40"/>
      </w:pPr>
      <w:r>
        <w:rPr>
          <w:rFonts w:ascii="Calibri" w:hAnsi="Calibri"/>
          <w:b/>
          <w:i/>
          <w:color w:val="1B365D"/>
          <w:sz w:val="22"/>
        </w:rPr>
        <w:t>Rule: Strict Typing &amp; Volatile Access for Hardware Drivers</w:t>
      </w:r>
    </w:p>
    <w:p>
      <w:pPr>
        <w:spacing w:after="80"/>
      </w:pPr>
      <w:r>
        <w:t>Memory-mapped hardware registers must be declared volatile to prevent unsafe compiler optimizations and cast safely through constant pointer abstractions.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029"/>
      </w:tblGrid>
      <w:tr>
        <w:tc>
          <w:tcPr>
            <w:tcW w:type="dxa" w:w="9029"/>
            <w:shd w:fill="F4F6F9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top w:val="single" w:sz="4" w:color="D1D5DB"/>
              <w:left w:val="single" w:sz="12" w:color="1B365D"/>
              <w:bottom w:val="single" w:sz="4" w:color="D1D5DB"/>
              <w:right w:val="single" w:sz="4" w:color="D1D5DB"/>
            </w:tcBorders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8"/>
              </w:rPr>
              <w:t>/* NON-COMPLIANT */</w:t>
              <w:br/>
              <w:t>uint32_t *reg = (uint32_t*)0x40000000;</w:t>
              <w:br/>
              <w:t>*reg = 0x01;                       /* Non-compliant: Compiler may optimize away register writes */</w:t>
              <w:br/>
              <w:br/>
              <w:t>/* COMPLIANT */</w:t>
              <w:br/>
              <w:t>/* Address defined as constant pointer to volatile register */</w:t>
              <w:br/>
              <w:t>#define UART_CTRL_REG_ADDR  (0x40000000U)</w:t>
              <w:br/>
              <w:t>static volatile uint32_t * const pUartControlReg = (volatile uint32_t * const)UART_CTRL_REG_ADDR;</w:t>
              <w:br/>
              <w:br/>
              <w:t>void EnableUart(void)</w:t>
              <w:br/>
              <w:t>{</w:t>
              <w:br/>
              <w:t xml:space="preserve">    #define UART_ENABLE_BIT_MASK (0x00000001U)</w:t>
              <w:br/>
              <w:t xml:space="preserve">    </w:t>
              <w:br/>
              <w:t xml:space="preserve">    if (pUartControlReg != NULL)</w:t>
              <w:br/>
              <w:t xml:space="preserve">    {</w:t>
              <w:br/>
              <w:t xml:space="preserve">        *pUartControlReg |= UART_ENABLE_BIT_MASK; /* Safely accesses MMIO hardware */</w:t>
              <w:br/>
              <w:t xml:space="preserve">    }</w:t>
              <w:br/>
              <w:t>}</w:t>
            </w:r>
          </w:p>
        </w:tc>
      </w:tr>
    </w:tbl>
    <w:p>
      <w:pPr>
        <w:spacing w:after="80"/>
      </w:pPr>
    </w:p>
    <w:p>
      <w:pPr>
        <w:keepNext/>
        <w:spacing w:before="240" w:after="80"/>
      </w:pPr>
      <w:r>
        <w:rPr>
          <w:rFonts w:ascii="Calibri" w:hAnsi="Calibri"/>
          <w:b/>
          <w:color w:val="5C768D"/>
          <w:sz w:val="26"/>
        </w:rPr>
        <w:t>5.5 Safe Macro Definitions &amp; Functions</w:t>
      </w:r>
    </w:p>
    <w:p>
      <w:pPr>
        <w:keepNext/>
        <w:spacing w:before="160" w:after="40"/>
      </w:pPr>
      <w:r>
        <w:rPr>
          <w:rFonts w:ascii="Calibri" w:hAnsi="Calibri"/>
          <w:b/>
          <w:i/>
          <w:color w:val="1B365D"/>
          <w:sz w:val="22"/>
        </w:rPr>
        <w:t>Rule: Parenthesized Macros &amp; Function Limits</w:t>
      </w:r>
    </w:p>
    <w:p>
      <w:pPr>
        <w:spacing w:after="80"/>
      </w:pPr>
      <w:r>
        <w:t>Macro parameters and overall macro expressions must be wrapped in parentheses to prevent operator precedence errors. Prefer static inline functions over macros where possible. Functions must maintain Cyclomatic Complexity CC &lt;= 10, max length 50-100 lines, max 4 parameters, and strictly zero recursion.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029"/>
      </w:tblGrid>
      <w:tr>
        <w:tc>
          <w:tcPr>
            <w:tcW w:type="dxa" w:w="9029"/>
            <w:shd w:fill="F4F6F9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top w:val="single" w:sz="4" w:color="D1D5DB"/>
              <w:left w:val="single" w:sz="12" w:color="1B365D"/>
              <w:bottom w:val="single" w:sz="4" w:color="D1D5DB"/>
              <w:right w:val="single" w:sz="4" w:color="D1D5DB"/>
            </w:tcBorders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8"/>
              </w:rPr>
              <w:t>/* NON-COMPLIANT */</w:t>
              <w:br/>
              <w:t>#define SQUARE(x)      x * x        /* Non-compliant: Expanded as a + b * a + b when invoked as SQUARE(a + b) */</w:t>
              <w:br/>
              <w:t>#define SET_BIT(reg, b) reg |= 1 &lt;&lt; b /* Missing parentheses around arguments */</w:t>
              <w:br/>
              <w:br/>
              <w:t>/* COMPLIANT */</w:t>
              <w:br/>
              <w:t>#define SQUARE(x)      ((x) * (x))  /* Correctly parenthesized */</w:t>
              <w:br/>
              <w:t>#define SET_BIT(reg, b) ((reg) |= (1U &lt;&lt; (b)))</w:t>
              <w:br/>
              <w:br/>
              <w:t>/* RECOMMENDED ALTERNATIVE: Static Inline Functions */</w:t>
              <w:br/>
              <w:t>static inline uint32_t SafeSquareU32(uint32_t u32Val)</w:t>
              <w:br/>
              <w:t>{</w:t>
              <w:br/>
              <w:t xml:space="preserve">    return (u32Val * u32Val);</w:t>
              <w:br/>
              <w:t>}</w:t>
            </w:r>
          </w:p>
        </w:tc>
      </w:tr>
    </w:tbl>
    <w:p>
      <w:pPr>
        <w:spacing w:after="80"/>
      </w:pPr>
    </w:p>
    <w:p>
      <w:pPr>
        <w:keepNext/>
        <w:spacing w:before="240" w:after="80"/>
      </w:pPr>
      <w:r>
        <w:rPr>
          <w:rFonts w:ascii="Calibri" w:hAnsi="Calibri"/>
          <w:b/>
          <w:color w:val="5C768D"/>
          <w:sz w:val="26"/>
        </w:rPr>
        <w:t>5.6 Single Function Exits &amp; Return Checking</w:t>
      </w:r>
    </w:p>
    <w:p>
      <w:pPr>
        <w:keepNext/>
        <w:spacing w:before="160" w:after="40"/>
      </w:pPr>
      <w:r>
        <w:rPr>
          <w:rFonts w:ascii="Calibri" w:hAnsi="Calibri"/>
          <w:b/>
          <w:i/>
          <w:color w:val="1B365D"/>
          <w:sz w:val="22"/>
        </w:rPr>
        <w:t>Rule: Verified Return Values &amp; Deterministic Single Exits</w:t>
      </w:r>
    </w:p>
    <w:p>
      <w:pPr>
        <w:spacing w:after="80"/>
      </w:pPr>
      <w:r>
        <w:t>Functions must evaluate and propagate return status codes (e.g., E_OK / E_NOT_OK) and maintain a single exit point (single return statement) at the end of function execution.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029"/>
      </w:tblGrid>
      <w:tr>
        <w:tc>
          <w:tcPr>
            <w:tcW w:type="dxa" w:w="9029"/>
            <w:shd w:fill="F4F6F9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top w:val="single" w:sz="4" w:color="D1D5DB"/>
              <w:left w:val="single" w:sz="12" w:color="1B365D"/>
              <w:bottom w:val="single" w:sz="4" w:color="D1D5DB"/>
              <w:right w:val="single" w:sz="4" w:color="D1D5DB"/>
            </w:tcBorders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8"/>
              </w:rPr>
              <w:t>/* NON-COMPLIANT */</w:t>
              <w:br/>
              <w:t>bool ValidateAndStore(uint16_t u16Val)</w:t>
              <w:br/>
              <w:t>{</w:t>
              <w:br/>
              <w:t xml:space="preserve">    if (u16Val &gt; 1000U)</w:t>
              <w:br/>
              <w:t xml:space="preserve">    {</w:t>
              <w:br/>
              <w:t xml:space="preserve">        return false;              /* Non-compliant: Early exit point */</w:t>
              <w:br/>
              <w:t xml:space="preserve">    }</w:t>
              <w:br/>
              <w:t xml:space="preserve">    </w:t>
              <w:br/>
              <w:t xml:space="preserve">    SaveToEeprom(u16Val);          /* Non-compliant: Ignored return value from function */</w:t>
              <w:br/>
              <w:t xml:space="preserve">    return true;                   /* Non-compliant: Multiple exit points */</w:t>
              <w:br/>
              <w:t>}</w:t>
              <w:br/>
              <w:br/>
              <w:t>/* COMPLIANT */</w:t>
              <w:br/>
              <w:t>Std_ReturnType ValidateAndStore(uint16_t u16Val)</w:t>
              <w:br/>
              <w:t>{</w:t>
              <w:br/>
              <w:t xml:space="preserve">    Std_ReturnType eRetStatus = E_NOT_OK;</w:t>
              <w:br/>
              <w:t xml:space="preserve">    </w:t>
              <w:br/>
              <w:t xml:space="preserve">    if (u16Val &lt;= MAX_VALID_EEPROM_THRESHOLD)</w:t>
              <w:br/>
              <w:t xml:space="preserve">    {</w:t>
              <w:br/>
              <w:t xml:space="preserve">        /* Check and propagate return value of lower-level driver */</w:t>
              <w:br/>
              <w:t xml:space="preserve">        eRetStatus = SaveToEeprom(u16Val);</w:t>
              <w:br/>
              <w:t xml:space="preserve">    }</w:t>
              <w:br/>
              <w:t xml:space="preserve">    else</w:t>
              <w:br/>
              <w:t xml:space="preserve">    {</w:t>
              <w:br/>
              <w:t xml:space="preserve">        eRetStatus = E_PARAM_OUT_OF_RANGE;</w:t>
              <w:br/>
              <w:t xml:space="preserve">    }</w:t>
              <w:br/>
              <w:br/>
              <w:t xml:space="preserve">    return eRetStatus;             /* Single exit point at the end */</w:t>
              <w:br/>
              <w:t>}</w:t>
            </w:r>
          </w:p>
        </w:tc>
      </w:tr>
    </w:tbl>
    <w:p>
      <w:pPr>
        <w:spacing w:after="80"/>
      </w:pPr>
    </w:p>
    <w:p>
      <w:pPr>
        <w:keepNext/>
        <w:spacing w:before="320" w:after="120"/>
      </w:pPr>
      <w:r>
        <w:rPr>
          <w:rFonts w:ascii="Calibri" w:hAnsi="Calibri"/>
          <w:b/>
          <w:color w:val="1B365D"/>
          <w:sz w:val="32"/>
        </w:rPr>
        <w:t>6. Domain-Specific Extensions</w:t>
      </w:r>
    </w:p>
    <w:p>
      <w:pPr>
        <w:keepNext/>
        <w:spacing w:before="240" w:after="80"/>
      </w:pPr>
      <w:r>
        <w:rPr>
          <w:rFonts w:ascii="Calibri" w:hAnsi="Calibri"/>
          <w:b/>
          <w:color w:val="5C768D"/>
          <w:sz w:val="26"/>
        </w:rPr>
        <w:t>6.1 Defence &amp; Aerospace Extensions (DO-178C DAL-A/B &amp; Def Stan 00-056/00-55)</w:t>
      </w:r>
    </w:p>
    <w:p>
      <w:pPr>
        <w:pStyle w:val="ListBullet"/>
        <w:spacing w:before="0" w:after="60"/>
      </w:pPr>
      <w:r>
        <w:rPr>
          <w:b/>
          <w:color w:val="2D3748"/>
        </w:rPr>
        <w:t xml:space="preserve">Formal Verification: </w:t>
      </w:r>
      <w:r>
        <w:rPr>
          <w:color w:val="2D3748"/>
        </w:rPr>
        <w:t>In accordance with Def Stan 00-55/00-56 (SIL 3/4), key state machines and safety mechanisms shall undergo formal methods analysis and Design-by-Contract checks.</w:t>
      </w:r>
    </w:p>
    <w:p>
      <w:pPr>
        <w:pStyle w:val="ListBullet"/>
        <w:spacing w:before="0" w:after="60"/>
      </w:pPr>
      <w:r>
        <w:rPr>
          <w:b/>
          <w:color w:val="2D3748"/>
        </w:rPr>
        <w:t xml:space="preserve">Traceability Matrix: </w:t>
      </w:r>
      <w:r>
        <w:rPr>
          <w:color w:val="2D3748"/>
        </w:rPr>
        <w:t>Every low-level software function must link directly to a High-Level Requirement (HLR) or Low-Level Requirement (LLR) in DOORS/Polarion. Unmapped functions are treated as dead code.</w:t>
      </w:r>
    </w:p>
    <w:p>
      <w:pPr>
        <w:pStyle w:val="ListBullet"/>
        <w:spacing w:before="0" w:after="60"/>
      </w:pPr>
      <w:r>
        <w:rPr>
          <w:b/>
          <w:color w:val="2D3748"/>
        </w:rPr>
        <w:t xml:space="preserve">Bounded Execution Time: </w:t>
      </w:r>
      <w:r>
        <w:rPr>
          <w:color w:val="2D3748"/>
        </w:rPr>
        <w:t>Functions executing in real-time interrupt contexts must have strict Worst-Case Execution Time (WCET) bounds.</w:t>
      </w:r>
    </w:p>
    <w:p>
      <w:pPr>
        <w:keepNext/>
        <w:spacing w:before="240" w:after="80"/>
      </w:pPr>
      <w:r>
        <w:rPr>
          <w:rFonts w:ascii="Calibri" w:hAnsi="Calibri"/>
          <w:b/>
          <w:color w:val="5C768D"/>
          <w:sz w:val="26"/>
        </w:rPr>
        <w:t>6.2 Railway Safety Extensions (EN 50128 / EN 50657 SW-SIL 3/4)</w:t>
      </w:r>
    </w:p>
    <w:p>
      <w:pPr>
        <w:pStyle w:val="ListBullet"/>
        <w:spacing w:before="0" w:after="60"/>
      </w:pPr>
      <w:r>
        <w:rPr>
          <w:b/>
          <w:color w:val="2D3748"/>
        </w:rPr>
        <w:t xml:space="preserve">No Side Effects: </w:t>
      </w:r>
      <w:r>
        <w:rPr>
          <w:color w:val="2D3748"/>
        </w:rPr>
        <w:t>Expressions shall not combine assignments and logical checks.</w:t>
      </w:r>
    </w:p>
    <w:p>
      <w:pPr>
        <w:pStyle w:val="ListBullet"/>
        <w:spacing w:before="0" w:after="60"/>
      </w:pPr>
      <w:r>
        <w:rPr>
          <w:b/>
          <w:color w:val="2D3748"/>
        </w:rPr>
        <w:t xml:space="preserve">Defensive Checks: </w:t>
      </w:r>
      <w:r>
        <w:rPr>
          <w:color w:val="2D3748"/>
        </w:rPr>
        <w:t>Data received from external communication busses (e.g., MVB, CAN, Ethernet) must undergo continuous sanity checks and frame integrity verification before execution.</w:t>
      </w:r>
    </w:p>
    <w:p>
      <w:pPr>
        <w:keepNext/>
        <w:spacing w:before="320" w:after="120"/>
      </w:pPr>
      <w:r>
        <w:rPr>
          <w:rFonts w:ascii="Calibri" w:hAnsi="Calibri"/>
          <w:b/>
          <w:color w:val="1B365D"/>
          <w:sz w:val="32"/>
        </w:rPr>
        <w:t>7. QA Verification, Static Analysis &amp; Deviation Management</w:t>
      </w:r>
    </w:p>
    <w:p>
      <w:pPr>
        <w:keepNext/>
        <w:spacing w:before="240" w:after="80"/>
      </w:pPr>
      <w:r>
        <w:rPr>
          <w:rFonts w:ascii="Calibri" w:hAnsi="Calibri"/>
          <w:b/>
          <w:color w:val="5C768D"/>
          <w:sz w:val="26"/>
        </w:rPr>
        <w:t>7.1 Static Analysis Engine Stack</w:t>
      </w:r>
    </w:p>
    <w:p>
      <w:pPr>
        <w:pStyle w:val="ListBullet"/>
        <w:spacing w:before="0" w:after="60"/>
      </w:pPr>
      <w:r>
        <w:rPr>
          <w:b/>
          <w:color w:val="2D3748"/>
        </w:rPr>
        <w:t xml:space="preserve">Commercial Engines: </w:t>
      </w:r>
      <w:r>
        <w:rPr>
          <w:color w:val="2D3748"/>
        </w:rPr>
        <w:t>Helix QAC, Polyspace Bug Finder/Prover, Coverity, LDRA Testbed, PC-lint Plus.</w:t>
      </w:r>
    </w:p>
    <w:p>
      <w:pPr>
        <w:pStyle w:val="ListBullet"/>
        <w:spacing w:before="0" w:after="60"/>
      </w:pPr>
      <w:r>
        <w:rPr>
          <w:b/>
          <w:color w:val="2D3748"/>
        </w:rPr>
        <w:t xml:space="preserve">Open / Supplementary Engines: </w:t>
      </w:r>
      <w:r>
        <w:rPr>
          <w:color w:val="2D3748"/>
        </w:rPr>
        <w:t>Cppcheck, Clang-Tidy.</w:t>
      </w:r>
    </w:p>
    <w:p>
      <w:pPr>
        <w:keepNext/>
        <w:spacing w:before="240" w:after="80"/>
      </w:pPr>
      <w:r>
        <w:rPr>
          <w:rFonts w:ascii="Calibri" w:hAnsi="Calibri"/>
          <w:b/>
          <w:color w:val="5C768D"/>
          <w:sz w:val="26"/>
        </w:rPr>
        <w:t>7.2 Software Quality Targets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1D5DB"/>
          <w:bottom w:val="single" w:sz="4" w:space="0" w:color="D1D5DB"/>
          <w:left w:val="none"/>
          <w:right w:val="none"/>
          <w:insideH w:val="single" w:sz="4" w:space="0" w:color="D1D5DB"/>
          <w:insideV w:val="none"/>
        </w:tblBorders>
      </w:tblPr>
      <w:tblGrid>
        <w:gridCol w:w="3010"/>
        <w:gridCol w:w="3010"/>
        <w:gridCol w:w="3010"/>
      </w:tblGrid>
      <w:tr>
        <w:tc>
          <w:tcPr>
            <w:tcW w:type="dxa" w:w="3010"/>
            <w:shd w:fill="1B365D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Metric</w:t>
            </w:r>
          </w:p>
        </w:tc>
        <w:tc>
          <w:tcPr>
            <w:tcW w:type="dxa" w:w="3010"/>
            <w:shd w:fill="1B365D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Threshold / Target</w:t>
            </w:r>
          </w:p>
        </w:tc>
        <w:tc>
          <w:tcPr>
            <w:tcW w:type="dxa" w:w="3010"/>
            <w:shd w:fill="1B365D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Action Upon Breach</w:t>
            </w:r>
          </w:p>
        </w:tc>
      </w:tr>
      <w:tr>
        <w:tc>
          <w:tcPr>
            <w:tcW w:type="dxa" w:w="301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Compiler Warnings</w:t>
            </w:r>
          </w:p>
        </w:tc>
        <w:tc>
          <w:tcPr>
            <w:tcW w:type="dxa" w:w="301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Exactly 0 Warnings (-Werror)</w:t>
            </w:r>
          </w:p>
        </w:tc>
        <w:tc>
          <w:tcPr>
            <w:tcW w:type="dxa" w:w="301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Build Failure</w:t>
            </w:r>
          </w:p>
        </w:tc>
      </w:tr>
      <w:tr>
        <w:tc>
          <w:tcPr>
            <w:tcW w:type="dxa" w:w="301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MISRA Mandatory Violations</w:t>
            </w:r>
          </w:p>
        </w:tc>
        <w:tc>
          <w:tcPr>
            <w:tcW w:type="dxa" w:w="301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Exactly 0 Violations</w:t>
            </w:r>
          </w:p>
        </w:tc>
        <w:tc>
          <w:tcPr>
            <w:tcW w:type="dxa" w:w="301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Build Failure</w:t>
            </w:r>
          </w:p>
        </w:tc>
      </w:tr>
      <w:tr>
        <w:tc>
          <w:tcPr>
            <w:tcW w:type="dxa" w:w="301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MISRA Required Violations</w:t>
            </w:r>
          </w:p>
        </w:tc>
        <w:tc>
          <w:tcPr>
            <w:tcW w:type="dxa" w:w="301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0 (or Formally Approved Deviation)</w:t>
            </w:r>
          </w:p>
        </w:tc>
        <w:tc>
          <w:tcPr>
            <w:tcW w:type="dxa" w:w="301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Review Escalation</w:t>
            </w:r>
          </w:p>
        </w:tc>
      </w:tr>
      <w:tr>
        <w:tc>
          <w:tcPr>
            <w:tcW w:type="dxa" w:w="301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Cyclomatic Complexity</w:t>
            </w:r>
          </w:p>
        </w:tc>
        <w:tc>
          <w:tcPr>
            <w:tcW w:type="dxa" w:w="301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CC &lt;= 10 per function</w:t>
            </w:r>
          </w:p>
        </w:tc>
        <w:tc>
          <w:tcPr>
            <w:tcW w:type="dxa" w:w="301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Refactoring Required</w:t>
            </w:r>
          </w:p>
        </w:tc>
      </w:tr>
      <w:tr>
        <w:tc>
          <w:tcPr>
            <w:tcW w:type="dxa" w:w="301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Code Coverage (DAL-A / SIL-4)</w:t>
            </w:r>
          </w:p>
        </w:tc>
        <w:tc>
          <w:tcPr>
            <w:tcW w:type="dxa" w:w="301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100% MC/DC Coverage</w:t>
            </w:r>
          </w:p>
        </w:tc>
        <w:tc>
          <w:tcPr>
            <w:tcW w:type="dxa" w:w="301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Block Release</w:t>
            </w:r>
          </w:p>
        </w:tc>
      </w:tr>
      <w:tr>
        <w:tc>
          <w:tcPr>
            <w:tcW w:type="dxa" w:w="301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Code Coverage (ASIL-B / DAL-C)</w:t>
            </w:r>
          </w:p>
        </w:tc>
        <w:tc>
          <w:tcPr>
            <w:tcW w:type="dxa" w:w="301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100% Statement + Branch Coverage</w:t>
            </w:r>
          </w:p>
        </w:tc>
        <w:tc>
          <w:tcPr>
            <w:tcW w:type="dxa" w:w="301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Block Release</w:t>
            </w:r>
          </w:p>
        </w:tc>
      </w:tr>
    </w:tbl>
    <w:p>
      <w:pPr>
        <w:keepNext/>
        <w:spacing w:before="240" w:after="80"/>
      </w:pPr>
      <w:r>
        <w:rPr>
          <w:rFonts w:ascii="Calibri" w:hAnsi="Calibri"/>
          <w:b/>
          <w:color w:val="5C768D"/>
          <w:sz w:val="26"/>
        </w:rPr>
        <w:t>7.3 Formal Deviation Workflow &amp; Example</w:t>
      </w:r>
    </w:p>
    <w:p>
      <w:pPr>
        <w:spacing w:after="80"/>
      </w:pPr>
      <w:r>
        <w:t>If a MISRA or domain rule must be breached (e.g., mapping absolute addresses to hardware registers), a formal deviation record must be submitted and approved: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029"/>
      </w:tblGrid>
      <w:tr>
        <w:tc>
          <w:tcPr>
            <w:tcW w:type="dxa" w:w="9029"/>
            <w:shd w:fill="F4F6F9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top w:val="single" w:sz="4" w:color="D1D5DB"/>
              <w:left w:val="single" w:sz="12" w:color="1B365D"/>
              <w:bottom w:val="single" w:sz="4" w:color="D1D5DB"/>
              <w:right w:val="single" w:sz="4" w:color="D1D5DB"/>
            </w:tcBorders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8"/>
              </w:rPr>
              <w:t xml:space="preserve">[Developer Submits Deviation Record] </w:t>
              <w:br/>
              <w:t xml:space="preserve">                   │</w:t>
              <w:br/>
              <w:t xml:space="preserve">                   ▼</w:t>
              <w:br/>
              <w:t>[Technical Safety &amp; Hazard Review] ──► [Static Analysis &amp; Risk Assessment]</w:t>
              <w:br/>
              <w:t xml:space="preserve">                   │</w:t>
              <w:br/>
              <w:t xml:space="preserve">                   ▼</w:t>
              <w:br/>
              <w:t>[Software Architect + QA Safety Lead Sign-Off]</w:t>
            </w:r>
          </w:p>
        </w:tc>
      </w:tr>
    </w:tbl>
    <w:p>
      <w:pPr>
        <w:spacing w:after="80"/>
      </w:pPr>
    </w:p>
    <w:p>
      <w:pPr>
        <w:keepNext/>
        <w:spacing w:before="160" w:after="40"/>
      </w:pPr>
      <w:r>
        <w:rPr>
          <w:rFonts w:ascii="Calibri" w:hAnsi="Calibri"/>
          <w:b/>
          <w:i/>
          <w:color w:val="1B365D"/>
          <w:sz w:val="22"/>
        </w:rPr>
        <w:t>Deviation Record Example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029"/>
      </w:tblGrid>
      <w:tr>
        <w:tc>
          <w:tcPr>
            <w:tcW w:type="dxa" w:w="9029"/>
            <w:shd w:fill="F4F6F9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top w:val="single" w:sz="4" w:color="D1D5DB"/>
              <w:left w:val="single" w:sz="12" w:color="1B365D"/>
              <w:bottom w:val="single" w:sz="4" w:color="D1D5DB"/>
              <w:right w:val="single" w:sz="4" w:color="D1D5DB"/>
            </w:tcBorders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8"/>
              </w:rPr>
              <w:t>Deviation ID          : DEV-MISRA-2026-001</w:t>
              <w:br/>
              <w:t>Rule Violated         : MISRA C:2023 Rule 11.4 / Rule 11.6 (Pointer Cast to Integer)</w:t>
              <w:br/>
              <w:t>Location              : drivers/timer_hw.c (Line 42)</w:t>
              <w:br/>
              <w:t>Technical Justification: Required to directly access hardware memory-mapped register address 0x40000000.</w:t>
              <w:br/>
              <w:t>Safety Mitigation     : Register pointer volatile-qualified and constrained in driver wrapper module.</w:t>
              <w:br/>
              <w:t xml:space="preserve">                        Verified via hardware unit tests and static analysis sandbox.</w:t>
              <w:br/>
              <w:t>Approval Authority    : Software Architect &amp; QA Safety Lead Sign-Off.</w:t>
            </w:r>
          </w:p>
        </w:tc>
      </w:tr>
    </w:tbl>
    <w:p>
      <w:pPr>
        <w:spacing w:after="80"/>
      </w:pPr>
    </w:p>
    <w:p>
      <w:pPr>
        <w:keepNext/>
        <w:spacing w:before="320" w:after="120"/>
      </w:pPr>
      <w:r>
        <w:rPr>
          <w:rFonts w:ascii="Calibri" w:hAnsi="Calibri"/>
          <w:b/>
          <w:color w:val="1B365D"/>
          <w:sz w:val="32"/>
        </w:rPr>
        <w:t>8. Quality Assurance Code Review Checklist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1D5DB"/>
          <w:bottom w:val="single" w:sz="4" w:space="0" w:color="D1D5DB"/>
          <w:left w:val="none"/>
          <w:right w:val="none"/>
          <w:insideH w:val="single" w:sz="4" w:space="0" w:color="D1D5DB"/>
          <w:insideV w:val="none"/>
        </w:tblBorders>
      </w:tblPr>
      <w:tblGrid>
        <w:gridCol w:w="3010"/>
        <w:gridCol w:w="3010"/>
        <w:gridCol w:w="3010"/>
      </w:tblGrid>
      <w:tr>
        <w:tc>
          <w:tcPr>
            <w:tcW w:type="dxa" w:w="3010"/>
            <w:shd w:fill="1B365D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Verification Item</w:t>
            </w:r>
          </w:p>
        </w:tc>
        <w:tc>
          <w:tcPr>
            <w:tcW w:type="dxa" w:w="3010"/>
            <w:shd w:fill="1B365D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Requirement Description</w:t>
            </w:r>
          </w:p>
        </w:tc>
        <w:tc>
          <w:tcPr>
            <w:tcW w:type="dxa" w:w="3010"/>
            <w:shd w:fill="1B365D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Compliance Status</w:t>
            </w:r>
          </w:p>
        </w:tc>
      </w:tr>
      <w:tr>
        <w:tc>
          <w:tcPr>
            <w:tcW w:type="dxa" w:w="301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Compiler Build</w:t>
            </w:r>
          </w:p>
        </w:tc>
        <w:tc>
          <w:tcPr>
            <w:tcW w:type="dxa" w:w="301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Compiles with -Werror without any warnings.</w:t>
            </w:r>
          </w:p>
        </w:tc>
        <w:tc>
          <w:tcPr>
            <w:tcW w:type="dxa" w:w="301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[  ] Pass</w:t>
            </w:r>
          </w:p>
        </w:tc>
      </w:tr>
      <w:tr>
        <w:tc>
          <w:tcPr>
            <w:tcW w:type="dxa" w:w="301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MISRA Compliance</w:t>
            </w:r>
          </w:p>
        </w:tc>
        <w:tc>
          <w:tcPr>
            <w:tcW w:type="dxa" w:w="301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Zero Mandatory violations; Required violations formally deviated.</w:t>
            </w:r>
          </w:p>
        </w:tc>
        <w:tc>
          <w:tcPr>
            <w:tcW w:type="dxa" w:w="301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[  ] Pass</w:t>
            </w:r>
          </w:p>
        </w:tc>
      </w:tr>
      <w:tr>
        <w:tc>
          <w:tcPr>
            <w:tcW w:type="dxa" w:w="301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Header Integrity</w:t>
            </w:r>
          </w:p>
        </w:tc>
        <w:tc>
          <w:tcPr>
            <w:tcW w:type="dxa" w:w="301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Includes standard company copyright, license, and change log.</w:t>
            </w:r>
          </w:p>
        </w:tc>
        <w:tc>
          <w:tcPr>
            <w:tcW w:type="dxa" w:w="301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[  ] Pass</w:t>
            </w:r>
          </w:p>
        </w:tc>
      </w:tr>
      <w:tr>
        <w:tc>
          <w:tcPr>
            <w:tcW w:type="dxa" w:w="301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Type Safety</w:t>
            </w:r>
          </w:p>
        </w:tc>
        <w:tc>
          <w:tcPr>
            <w:tcW w:type="dxa" w:w="301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Pure &lt;stdint.h&gt; implementation; no raw scalar types (int, short).</w:t>
            </w:r>
          </w:p>
        </w:tc>
        <w:tc>
          <w:tcPr>
            <w:tcW w:type="dxa" w:w="301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[  ] Pass</w:t>
            </w:r>
          </w:p>
        </w:tc>
      </w:tr>
      <w:tr>
        <w:tc>
          <w:tcPr>
            <w:tcW w:type="dxa" w:w="301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Variable Safety</w:t>
            </w:r>
          </w:p>
        </w:tc>
        <w:tc>
          <w:tcPr>
            <w:tcW w:type="dxa" w:w="301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All variables explicitly initialized at declaration; scope minimized.</w:t>
            </w:r>
          </w:p>
        </w:tc>
        <w:tc>
          <w:tcPr>
            <w:tcW w:type="dxa" w:w="301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[  ] Pass</w:t>
            </w:r>
          </w:p>
        </w:tc>
      </w:tr>
      <w:tr>
        <w:tc>
          <w:tcPr>
            <w:tcW w:type="dxa" w:w="301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Pointer Validation</w:t>
            </w:r>
          </w:p>
        </w:tc>
        <w:tc>
          <w:tcPr>
            <w:tcW w:type="dxa" w:w="301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Checked against NULL prior to dereferencing; zero dynamic memory.</w:t>
            </w:r>
          </w:p>
        </w:tc>
        <w:tc>
          <w:tcPr>
            <w:tcW w:type="dxa" w:w="301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[  ] Pass</w:t>
            </w:r>
          </w:p>
        </w:tc>
      </w:tr>
      <w:tr>
        <w:tc>
          <w:tcPr>
            <w:tcW w:type="dxa" w:w="301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Defensive Logic</w:t>
            </w:r>
          </w:p>
        </w:tc>
        <w:tc>
          <w:tcPr>
            <w:tcW w:type="dxa" w:w="301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Terminal else present; switch statements have explicit default:.</w:t>
            </w:r>
          </w:p>
        </w:tc>
        <w:tc>
          <w:tcPr>
            <w:tcW w:type="dxa" w:w="301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[  ] Pass</w:t>
            </w:r>
          </w:p>
        </w:tc>
      </w:tr>
      <w:tr>
        <w:tc>
          <w:tcPr>
            <w:tcW w:type="dxa" w:w="301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Traceability</w:t>
            </w:r>
          </w:p>
        </w:tc>
        <w:tc>
          <w:tcPr>
            <w:tcW w:type="dxa" w:w="301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Functions map to system requirements (DO-178C/EN 50128).</w:t>
            </w:r>
          </w:p>
        </w:tc>
        <w:tc>
          <w:tcPr>
            <w:tcW w:type="dxa" w:w="301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[  ] Pass</w:t>
            </w:r>
          </w:p>
        </w:tc>
      </w:tr>
    </w:tbl>
    <w:sectPr w:rsidR="00FC693F" w:rsidRPr="0006063C" w:rsidSect="00034616">
      <w:pgSz w:w="11909" w:h="16834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D3748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